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cs="Times New Roman"/>
          <w:lang w:eastAsia="zh-CN"/>
        </w:rPr>
      </w:pPr>
      <w:bookmarkStart w:id="0" w:name="_Toc15667"/>
      <w:r>
        <w:rPr>
          <w:rFonts w:hint="eastAsia" w:cs="Times New Roman"/>
          <w:lang w:eastAsia="zh-CN"/>
        </w:rPr>
        <w:t>项目基本信息</w:t>
      </w:r>
      <w:bookmarkEnd w:id="0"/>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738" w:leftChars="0" w:hanging="280" w:firstLineChars="0"/>
        <w:textAlignment w:val="auto"/>
        <w:rPr>
          <w:rFonts w:hint="eastAsia" w:cs="Times New Roman"/>
          <w:lang w:eastAsia="zh-CN"/>
        </w:rPr>
      </w:pPr>
      <w:r>
        <w:rPr>
          <w:rFonts w:hint="eastAsia" w:cs="Times New Roman"/>
          <w:lang w:eastAsia="zh-CN"/>
        </w:rPr>
        <w:t>项目建设单位：云南省第一人民医院</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738" w:leftChars="0" w:hanging="280" w:firstLineChars="0"/>
        <w:textAlignment w:val="auto"/>
        <w:rPr>
          <w:rFonts w:hint="eastAsia" w:cs="Times New Roman"/>
          <w:lang w:eastAsia="zh-CN"/>
        </w:rPr>
      </w:pPr>
      <w:r>
        <w:rPr>
          <w:rFonts w:hint="eastAsia" w:cs="Times New Roman"/>
          <w:lang w:eastAsia="zh-CN"/>
        </w:rPr>
        <w:t>项目名称：</w:t>
      </w:r>
      <w:r>
        <w:rPr>
          <w:rFonts w:hint="eastAsia" w:cs="Times New Roman"/>
          <w:lang w:val="en-US" w:eastAsia="zh-CN"/>
        </w:rPr>
        <w:t>云南省第一人民医院</w:t>
      </w:r>
      <w:r>
        <w:rPr>
          <w:rFonts w:hint="eastAsia" w:cs="Times New Roman"/>
          <w:lang w:eastAsia="zh-CN"/>
        </w:rPr>
        <w:t>协同办公自动化OA系统采购项目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738" w:leftChars="0" w:hanging="280" w:firstLineChars="0"/>
        <w:textAlignment w:val="auto"/>
      </w:pPr>
      <w:r>
        <w:rPr>
          <w:rFonts w:hint="eastAsia" w:cs="Times New Roman"/>
          <w:lang w:eastAsia="zh-CN"/>
        </w:rPr>
        <w:t>项目类型：建设类项目</w:t>
      </w:r>
    </w:p>
    <w:p>
      <w:pPr>
        <w:pStyle w:val="2"/>
        <w:bidi w:val="0"/>
        <w:rPr>
          <w:rFonts w:hint="eastAsia" w:cs="Times New Roman"/>
          <w:lang w:eastAsia="zh-CN"/>
        </w:rPr>
      </w:pPr>
      <w:bookmarkStart w:id="1" w:name="_Toc25422"/>
      <w:r>
        <w:rPr>
          <w:rFonts w:hint="eastAsia"/>
        </w:rPr>
        <w:t>总体建设</w:t>
      </w:r>
      <w:r>
        <w:rPr>
          <w:rFonts w:hint="eastAsia"/>
          <w:lang w:eastAsia="zh-CN"/>
        </w:rPr>
        <w:t>要求</w:t>
      </w:r>
      <w:bookmarkEnd w:id="1"/>
    </w:p>
    <w:p>
      <w:pPr>
        <w:ind w:firstLine="480" w:firstLineChars="200"/>
      </w:pPr>
      <w:bookmarkStart w:id="2" w:name="_Toc11546"/>
      <w:bookmarkStart w:id="3" w:name="_Toc30888"/>
      <w:bookmarkStart w:id="4" w:name="_Toc4890"/>
      <w:bookmarkStart w:id="5" w:name="_Toc15299"/>
      <w:bookmarkStart w:id="6" w:name="_Toc25246"/>
      <w:bookmarkStart w:id="7" w:name="_Toc12912"/>
      <w:bookmarkStart w:id="8" w:name="_Toc8338"/>
      <w:bookmarkStart w:id="9" w:name="_Toc27631"/>
      <w:bookmarkStart w:id="10" w:name="_Toc19815"/>
      <w:r>
        <w:rPr>
          <w:rFonts w:hint="eastAsia"/>
        </w:rPr>
        <w:t>本项目为云南省第一人民医院协同智慧OA系统采购项目，核心目标是构建以信创技术为核心支撑，兼具技术先进、性能稳定、安全可靠、运行高效的协同智慧OA管理系统。系统以"深化应用、注重成效"为主线，以院内OA服务应用为核心，兼具前瞻性与扩展性，不仅满足当前办公需求，更能支撑</w:t>
      </w:r>
      <w:r>
        <w:rPr>
          <w:rFonts w:hint="eastAsia"/>
          <w:lang w:val="en-US" w:eastAsia="zh-CN"/>
        </w:rPr>
        <w:t>全院所有部门纳入</w:t>
      </w:r>
      <w:r>
        <w:rPr>
          <w:rFonts w:hint="eastAsia"/>
        </w:rPr>
        <w:t>平台，最终建成覆盖全院各科室、贯通全业务流程的一体化自动化办公平台，并实现与全院其他第三方系统的无缝接口对接及互联互通。</w:t>
      </w:r>
    </w:p>
    <w:bookmarkEnd w:id="2"/>
    <w:bookmarkEnd w:id="3"/>
    <w:bookmarkEnd w:id="4"/>
    <w:bookmarkEnd w:id="5"/>
    <w:bookmarkEnd w:id="6"/>
    <w:bookmarkEnd w:id="7"/>
    <w:bookmarkEnd w:id="8"/>
    <w:bookmarkEnd w:id="9"/>
    <w:bookmarkEnd w:id="10"/>
    <w:p>
      <w:pPr>
        <w:pStyle w:val="2"/>
        <w:bidi w:val="0"/>
        <w:rPr>
          <w:rFonts w:hint="default"/>
          <w:lang w:val="en-US" w:eastAsia="zh-CN"/>
        </w:rPr>
      </w:pPr>
      <w:bookmarkStart w:id="11" w:name="_Toc3061"/>
      <w:r>
        <w:rPr>
          <w:rFonts w:hint="eastAsia"/>
          <w:lang w:val="en-US" w:eastAsia="zh-CN"/>
        </w:rPr>
        <w:t>建设</w:t>
      </w:r>
      <w:r>
        <w:rPr>
          <w:rFonts w:hint="default"/>
          <w:lang w:val="en-US" w:eastAsia="zh-CN"/>
        </w:rPr>
        <w:t>国产化信创环境</w:t>
      </w:r>
      <w:r>
        <w:rPr>
          <w:rFonts w:hint="eastAsia"/>
          <w:lang w:val="en-US" w:eastAsia="zh-CN"/>
        </w:rPr>
        <w:t>技术</w:t>
      </w:r>
      <w:r>
        <w:rPr>
          <w:rFonts w:hint="eastAsia"/>
          <w:lang w:eastAsia="zh-CN"/>
        </w:rPr>
        <w:t>要求</w:t>
      </w:r>
      <w:bookmarkEnd w:id="11"/>
    </w:p>
    <w:p>
      <w:pPr>
        <w:bidi w:val="0"/>
        <w:ind w:firstLine="480" w:firstLineChars="200"/>
        <w:rPr>
          <w:rFonts w:hint="default" w:cs="Times New Roman"/>
          <w:lang w:val="en-US" w:eastAsia="zh-CN"/>
        </w:rPr>
      </w:pPr>
      <w:r>
        <w:rPr>
          <w:rFonts w:hint="default" w:cs="Times New Roman"/>
          <w:lang w:val="en-US" w:eastAsia="zh-CN"/>
        </w:rPr>
        <w:t>基于国产化信创环境开发“</w:t>
      </w:r>
      <w:r>
        <w:rPr>
          <w:rFonts w:hint="eastAsia" w:cs="Times New Roman"/>
          <w:lang w:val="en-US" w:eastAsia="zh-CN"/>
        </w:rPr>
        <w:t>省一院协同办公自动化OA系统</w:t>
      </w:r>
      <w:r>
        <w:rPr>
          <w:rFonts w:hint="default" w:cs="Times New Roman"/>
          <w:lang w:val="en-US" w:eastAsia="zh-CN"/>
        </w:rPr>
        <w:t>”，需以国产软硬件生态底座为基础，深度融合医院行业特性，在覆盖常规OA功能的基础上</w:t>
      </w:r>
      <w:r>
        <w:rPr>
          <w:rFonts w:hint="eastAsia" w:cs="Times New Roman"/>
          <w:lang w:val="en-US" w:eastAsia="zh-CN"/>
        </w:rPr>
        <w:t>（详见功能模块明细模块）</w:t>
      </w:r>
      <w:r>
        <w:rPr>
          <w:rFonts w:hint="default" w:cs="Times New Roman"/>
          <w:lang w:val="en-US" w:eastAsia="zh-CN"/>
        </w:rPr>
        <w:t>，重点强化信创适配能力与医疗场景协同效能。结合信创合规要求与省一医院特殊业务需求，以下为</w:t>
      </w:r>
      <w:r>
        <w:rPr>
          <w:rFonts w:hint="eastAsia" w:cs="Times New Roman"/>
          <w:lang w:val="en-US" w:eastAsia="zh-CN"/>
        </w:rPr>
        <w:t>信创</w:t>
      </w:r>
      <w:r>
        <w:rPr>
          <w:rFonts w:hint="default" w:cs="Times New Roman"/>
          <w:lang w:val="en-US" w:eastAsia="zh-CN"/>
        </w:rPr>
        <w:t>核心要求：</w:t>
      </w:r>
    </w:p>
    <w:p>
      <w:pPr>
        <w:pStyle w:val="3"/>
        <w:bidi w:val="0"/>
      </w:pPr>
      <w:bookmarkStart w:id="12" w:name="_Toc8641"/>
      <w:bookmarkStart w:id="13" w:name="_Toc13410"/>
      <w:bookmarkStart w:id="14" w:name="_Toc16641"/>
      <w:r>
        <w:rPr>
          <w:rFonts w:hint="eastAsia"/>
        </w:rPr>
        <w:t>建设原则</w:t>
      </w:r>
      <w:bookmarkEnd w:id="12"/>
      <w:bookmarkEnd w:id="13"/>
      <w:bookmarkEnd w:id="14"/>
    </w:p>
    <w:p>
      <w:pPr>
        <w:pStyle w:val="9"/>
        <w:autoSpaceDE w:val="0"/>
        <w:autoSpaceDN w:val="0"/>
        <w:adjustRightInd w:val="0"/>
        <w:ind w:left="-17" w:leftChars="-7" w:firstLine="435"/>
        <w:rPr>
          <w:rFonts w:ascii="宋体" w:hAnsi="宋体"/>
          <w:szCs w:val="21"/>
        </w:rPr>
      </w:pPr>
      <w:r>
        <w:rPr>
          <w:rFonts w:hint="eastAsia" w:ascii="宋体" w:hAnsi="宋体"/>
          <w:szCs w:val="21"/>
        </w:rPr>
        <w:t>为保证项目能达到上述建设目标，在设计过程中应遵循如下原则：</w:t>
      </w:r>
    </w:p>
    <w:p>
      <w:pPr>
        <w:keepNext w:val="0"/>
        <w:keepLines w:val="0"/>
        <w:pageBreakBefore w:val="0"/>
        <w:widowControl w:val="0"/>
        <w:numPr>
          <w:ilvl w:val="0"/>
          <w:numId w:val="3"/>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bookmarkStart w:id="15" w:name="_Toc211853174"/>
      <w:bookmarkEnd w:id="15"/>
      <w:bookmarkStart w:id="16" w:name="_Toc108200082"/>
      <w:bookmarkEnd w:id="16"/>
      <w:bookmarkStart w:id="17" w:name="_Toc109477394"/>
      <w:bookmarkEnd w:id="17"/>
      <w:bookmarkStart w:id="18" w:name="_Toc108233245"/>
      <w:bookmarkEnd w:id="18"/>
      <w:bookmarkStart w:id="19" w:name="_Toc108199764"/>
      <w:bookmarkEnd w:id="19"/>
      <w:r>
        <w:rPr>
          <w:rFonts w:hint="eastAsia" w:ascii="宋体" w:hAnsi="宋体" w:eastAsia="宋体" w:cs="Times New Roman"/>
          <w:sz w:val="24"/>
          <w:szCs w:val="24"/>
          <w:lang w:val="en-US" w:eastAsia="zh-CN"/>
        </w:rPr>
        <w:t>安全性：系统必须建立整套包括相关技术和制度在内的严格、缜密、可靠的协同办公安全管理机制。</w:t>
      </w:r>
    </w:p>
    <w:p>
      <w:pPr>
        <w:keepNext w:val="0"/>
        <w:keepLines w:val="0"/>
        <w:pageBreakBefore w:val="0"/>
        <w:widowControl w:val="0"/>
        <w:numPr>
          <w:ilvl w:val="0"/>
          <w:numId w:val="3"/>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bookmarkStart w:id="20" w:name="_Toc211853177"/>
      <w:bookmarkEnd w:id="20"/>
      <w:r>
        <w:rPr>
          <w:rFonts w:hint="eastAsia" w:ascii="宋体" w:hAnsi="宋体" w:eastAsia="宋体" w:cs="Times New Roman"/>
          <w:sz w:val="24"/>
          <w:szCs w:val="24"/>
          <w:lang w:val="en-US" w:eastAsia="zh-CN"/>
        </w:rPr>
        <w:t>先进性：系统应采用先进、成熟的开发平台，使系统各项功能得到可靠执行。</w:t>
      </w:r>
    </w:p>
    <w:p>
      <w:pPr>
        <w:keepNext w:val="0"/>
        <w:keepLines w:val="0"/>
        <w:pageBreakBefore w:val="0"/>
        <w:widowControl w:val="0"/>
        <w:numPr>
          <w:ilvl w:val="0"/>
          <w:numId w:val="3"/>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bookmarkStart w:id="21" w:name="_Toc108200083"/>
      <w:bookmarkEnd w:id="21"/>
      <w:bookmarkStart w:id="22" w:name="_Toc108233246"/>
      <w:bookmarkEnd w:id="22"/>
      <w:bookmarkStart w:id="23" w:name="_Toc211853175"/>
      <w:bookmarkEnd w:id="23"/>
      <w:bookmarkStart w:id="24" w:name="_Toc108199765"/>
      <w:bookmarkEnd w:id="24"/>
      <w:bookmarkStart w:id="25" w:name="_Toc109477395"/>
      <w:bookmarkEnd w:id="25"/>
      <w:r>
        <w:rPr>
          <w:rFonts w:hint="eastAsia" w:ascii="宋体" w:hAnsi="宋体" w:eastAsia="宋体" w:cs="Times New Roman"/>
          <w:sz w:val="24"/>
          <w:szCs w:val="24"/>
          <w:lang w:val="en-US" w:eastAsia="zh-CN"/>
        </w:rPr>
        <w:t>持续升级：系统须能够无须定制地平滑升级，并承诺对产品提供持续升级服务。</w:t>
      </w:r>
    </w:p>
    <w:p>
      <w:pPr>
        <w:keepNext w:val="0"/>
        <w:keepLines w:val="0"/>
        <w:pageBreakBefore w:val="0"/>
        <w:widowControl w:val="0"/>
        <w:numPr>
          <w:ilvl w:val="0"/>
          <w:numId w:val="3"/>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bookmarkStart w:id="26" w:name="_Toc109477397"/>
      <w:bookmarkEnd w:id="26"/>
      <w:bookmarkStart w:id="27" w:name="_Toc108200085"/>
      <w:bookmarkEnd w:id="27"/>
      <w:bookmarkStart w:id="28" w:name="_Toc108199767"/>
      <w:bookmarkEnd w:id="28"/>
      <w:bookmarkStart w:id="29" w:name="_Toc108233248"/>
      <w:bookmarkEnd w:id="29"/>
      <w:bookmarkStart w:id="30" w:name="_Toc211853179"/>
      <w:bookmarkEnd w:id="30"/>
      <w:r>
        <w:rPr>
          <w:rFonts w:hint="eastAsia" w:ascii="宋体" w:hAnsi="宋体" w:eastAsia="宋体" w:cs="Times New Roman"/>
          <w:sz w:val="24"/>
          <w:szCs w:val="24"/>
          <w:lang w:val="en-US" w:eastAsia="zh-CN"/>
        </w:rPr>
        <w:t>易用性：系统应提供友好的用户界面，人性化的设计，简单易用，便于操作。</w:t>
      </w:r>
    </w:p>
    <w:p>
      <w:pPr>
        <w:keepNext w:val="0"/>
        <w:keepLines w:val="0"/>
        <w:pageBreakBefore w:val="0"/>
        <w:widowControl w:val="0"/>
        <w:numPr>
          <w:ilvl w:val="0"/>
          <w:numId w:val="3"/>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bookmarkStart w:id="31" w:name="_Toc108233250"/>
      <w:bookmarkEnd w:id="31"/>
      <w:bookmarkStart w:id="32" w:name="_Toc108233249"/>
      <w:bookmarkEnd w:id="32"/>
      <w:bookmarkStart w:id="33" w:name="_Toc109477398"/>
      <w:bookmarkEnd w:id="33"/>
      <w:bookmarkStart w:id="34" w:name="_Toc211853181"/>
      <w:bookmarkEnd w:id="34"/>
      <w:bookmarkStart w:id="35" w:name="_Toc211853183"/>
      <w:bookmarkEnd w:id="35"/>
      <w:bookmarkStart w:id="36" w:name="_Toc108199768"/>
      <w:bookmarkEnd w:id="36"/>
      <w:bookmarkStart w:id="37" w:name="_Toc108200086"/>
      <w:bookmarkEnd w:id="37"/>
      <w:bookmarkStart w:id="38" w:name="_Toc108199769"/>
      <w:bookmarkEnd w:id="38"/>
      <w:bookmarkStart w:id="39" w:name="_Toc108200087"/>
      <w:bookmarkEnd w:id="39"/>
      <w:bookmarkStart w:id="40" w:name="_Toc109477399"/>
      <w:bookmarkEnd w:id="40"/>
      <w:bookmarkStart w:id="41" w:name="_Toc211853182"/>
      <w:bookmarkEnd w:id="41"/>
      <w:r>
        <w:rPr>
          <w:rFonts w:hint="eastAsia" w:ascii="宋体" w:hAnsi="宋体" w:eastAsia="宋体" w:cs="Times New Roman"/>
          <w:sz w:val="24"/>
          <w:szCs w:val="24"/>
          <w:lang w:val="en-US" w:eastAsia="zh-CN"/>
        </w:rPr>
        <w:t>可扩展性：系统设计要科学、合理，应具有良好的可扩展性，用户能按需有偿扩充新的功能模块及扩大应用规模（如数据量、用户数等），不得出现因功能与规模相互影响而导致实质性无法有效扩展等问题出现。</w:t>
      </w:r>
    </w:p>
    <w:p>
      <w:pPr>
        <w:keepNext w:val="0"/>
        <w:keepLines w:val="0"/>
        <w:pageBreakBefore w:val="0"/>
        <w:widowControl w:val="0"/>
        <w:numPr>
          <w:ilvl w:val="0"/>
          <w:numId w:val="3"/>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default"/>
          <w:lang w:val="en-US" w:eastAsia="zh-CN"/>
        </w:rPr>
      </w:pPr>
      <w:bookmarkStart w:id="42" w:name="_Toc109477401"/>
      <w:bookmarkEnd w:id="42"/>
      <w:bookmarkStart w:id="43" w:name="_Toc211853185"/>
      <w:bookmarkEnd w:id="43"/>
      <w:bookmarkStart w:id="44" w:name="_Toc108200089"/>
      <w:bookmarkEnd w:id="44"/>
      <w:bookmarkStart w:id="45" w:name="_Toc108233252"/>
      <w:bookmarkEnd w:id="45"/>
      <w:bookmarkStart w:id="46" w:name="_Toc108199771"/>
      <w:bookmarkEnd w:id="46"/>
      <w:r>
        <w:rPr>
          <w:rFonts w:hint="eastAsia" w:ascii="宋体" w:hAnsi="宋体" w:eastAsia="宋体" w:cs="Times New Roman"/>
          <w:sz w:val="24"/>
          <w:szCs w:val="24"/>
          <w:lang w:val="en-US" w:eastAsia="zh-CN"/>
        </w:rPr>
        <w:t>可维护性：系统应提供可视化的管理工具，允许通过多种手段，快捷管理、配置和监控系统运行状况，为系统正常运行提供技术保障。</w:t>
      </w:r>
    </w:p>
    <w:p>
      <w:pPr>
        <w:pStyle w:val="3"/>
        <w:bidi w:val="0"/>
        <w:rPr>
          <w:rFonts w:hint="default"/>
          <w:lang w:val="en-US" w:eastAsia="zh-CN"/>
        </w:rPr>
      </w:pPr>
      <w:bookmarkStart w:id="47" w:name="_Toc21567"/>
      <w:r>
        <w:rPr>
          <w:rFonts w:hint="default"/>
          <w:lang w:val="en-US" w:eastAsia="zh-CN"/>
        </w:rPr>
        <w:t>安全可靠技术路线</w:t>
      </w:r>
      <w:bookmarkEnd w:id="47"/>
    </w:p>
    <w:p>
      <w:pPr>
        <w:pStyle w:val="4"/>
        <w:ind w:firstLine="480" w:firstLineChars="200"/>
        <w:rPr>
          <w:rFonts w:hint="default" w:cs="Times New Roman"/>
          <w:lang w:val="en-US" w:eastAsia="zh-CN"/>
        </w:rPr>
      </w:pPr>
      <w:r>
        <w:rPr>
          <w:rFonts w:hint="default" w:cs="Times New Roman"/>
          <w:lang w:val="en-US" w:eastAsia="zh-CN"/>
        </w:rPr>
        <w:t>系统支持：客户端兼容国产操作系统与</w:t>
      </w:r>
      <w:r>
        <w:rPr>
          <w:rFonts w:hint="eastAsia" w:cs="Times New Roman"/>
          <w:lang w:val="en-US" w:eastAsia="zh-CN"/>
        </w:rPr>
        <w:t>国产</w:t>
      </w:r>
      <w:r>
        <w:rPr>
          <w:rFonts w:hint="default" w:cs="Times New Roman"/>
          <w:lang w:val="en-US" w:eastAsia="zh-CN"/>
        </w:rPr>
        <w:t>安全浏览器，服务器支持国产数据库、应用中间件，搭配高可用服务器集群与网络负载均衡，最大程度保障信息安全；采用面向服务架构，以平台化、组件化模式开发，实现全浏览器界面操作管理。​</w:t>
      </w:r>
    </w:p>
    <w:p>
      <w:pPr>
        <w:pStyle w:val="4"/>
        <w:ind w:firstLine="480" w:firstLineChars="200"/>
        <w:rPr>
          <w:rFonts w:hint="default"/>
          <w:lang w:val="en-US" w:eastAsia="zh-CN"/>
        </w:rPr>
      </w:pPr>
      <w:r>
        <w:rPr>
          <w:rFonts w:hint="eastAsia" w:cs="Times New Roman"/>
          <w:lang w:val="en-US" w:eastAsia="zh-CN"/>
        </w:rPr>
        <w:t>投标人开发团队</w:t>
      </w:r>
      <w:r>
        <w:rPr>
          <w:rFonts w:hint="default" w:cs="Times New Roman"/>
          <w:lang w:val="en-US" w:eastAsia="zh-CN"/>
        </w:rPr>
        <w:t>需有丰富国产化环境适配与项目经验，产品需完成从底层硬件到上层应用的适配，形成全信创办公生态。</w:t>
      </w:r>
    </w:p>
    <w:p>
      <w:pPr>
        <w:pStyle w:val="3"/>
        <w:bidi w:val="0"/>
        <w:rPr>
          <w:rFonts w:hint="default"/>
          <w:lang w:val="en-US" w:eastAsia="zh-CN"/>
        </w:rPr>
      </w:pPr>
      <w:bookmarkStart w:id="48" w:name="_Toc9964"/>
      <w:r>
        <w:rPr>
          <w:rFonts w:hint="default"/>
          <w:lang w:val="en-US" w:eastAsia="zh-CN"/>
        </w:rPr>
        <w:t>技术线路要求</w:t>
      </w:r>
      <w:bookmarkEnd w:id="48"/>
    </w:p>
    <w:p>
      <w:pPr>
        <w:keepNext w:val="0"/>
        <w:keepLines w:val="0"/>
        <w:pageBreakBefore w:val="0"/>
        <w:widowControl w:val="0"/>
        <w:numPr>
          <w:ilvl w:val="0"/>
          <w:numId w:val="4"/>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Cs w:val="24"/>
          <w:lang w:val="en-US" w:eastAsia="zh-CN"/>
        </w:rPr>
      </w:pPr>
      <w:r>
        <w:rPr>
          <w:rFonts w:hint="default"/>
          <w:lang w:val="en-US" w:eastAsia="zh-CN"/>
        </w:rPr>
        <w:t>本次开发的APP技术体系要求为react native和原生技术开发</w:t>
      </w:r>
      <w:r>
        <w:rPr>
          <w:rFonts w:hint="eastAsia"/>
          <w:lang w:val="en-US" w:eastAsia="zh-CN"/>
        </w:rPr>
        <w:t>，包括苹果IOS，安卓APP，</w:t>
      </w:r>
      <w:r>
        <w:rPr>
          <w:rFonts w:hint="eastAsia" w:cs="Times New Roman"/>
          <w:szCs w:val="24"/>
          <w:lang w:val="en-US" w:eastAsia="zh-CN"/>
        </w:rPr>
        <w:t>鸿蒙NEXT；</w:t>
      </w:r>
    </w:p>
    <w:p>
      <w:pPr>
        <w:pStyle w:val="2"/>
        <w:bidi w:val="0"/>
        <w:rPr>
          <w:rFonts w:hint="default"/>
          <w:lang w:val="en-US" w:eastAsia="zh-CN"/>
        </w:rPr>
      </w:pPr>
      <w:bookmarkStart w:id="49" w:name="_Toc411416266"/>
      <w:bookmarkEnd w:id="49"/>
      <w:bookmarkStart w:id="50" w:name="_Toc411416265"/>
      <w:bookmarkEnd w:id="50"/>
      <w:bookmarkStart w:id="51" w:name="_Toc16168"/>
      <w:r>
        <w:rPr>
          <w:rFonts w:hint="eastAsia"/>
          <w:lang w:val="en-US" w:eastAsia="zh-CN"/>
        </w:rPr>
        <w:t>建设</w:t>
      </w:r>
      <w:r>
        <w:rPr>
          <w:rFonts w:hint="default"/>
          <w:lang w:val="en-US" w:eastAsia="zh-CN"/>
        </w:rPr>
        <w:t>安全</w:t>
      </w:r>
      <w:r>
        <w:rPr>
          <w:rFonts w:hint="eastAsia"/>
          <w:lang w:val="en-US" w:eastAsia="zh-CN"/>
        </w:rPr>
        <w:t>要求</w:t>
      </w:r>
      <w:bookmarkEnd w:id="51"/>
    </w:p>
    <w:p>
      <w:pPr>
        <w:bidi w:val="0"/>
        <w:ind w:firstLine="480" w:firstLineChars="200"/>
        <w:rPr>
          <w:rFonts w:hint="eastAsia" w:cs="Times New Roman"/>
          <w:lang w:eastAsia="zh-CN"/>
        </w:rPr>
      </w:pPr>
      <w:r>
        <w:rPr>
          <w:rFonts w:hint="eastAsia" w:cs="Times New Roman"/>
          <w:lang w:eastAsia="zh-CN"/>
        </w:rPr>
        <w:t>安全合规基准：系统须符合《中华人民共和国网络安全法》《网络安全等级保护基本要求》（GB/T22239-2019）等法规标准，满足三级网络安全等级保护要求。</w:t>
      </w:r>
    </w:p>
    <w:p>
      <w:pPr>
        <w:numPr>
          <w:ilvl w:val="0"/>
          <w:numId w:val="5"/>
        </w:numPr>
        <w:tabs>
          <w:tab w:val="left" w:pos="840"/>
          <w:tab w:val="clear" w:pos="420"/>
        </w:tabs>
        <w:ind w:left="845" w:hanging="425"/>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风险防控范围：针对 OA 系统核心风险（含公文 / 人事 / 财务等敏感数据泄露、未授权访问、恶意代码攻击、终端准入风险等），投标人需提供全链路防控方案。</w:t>
      </w:r>
    </w:p>
    <w:p>
      <w:pPr>
        <w:numPr>
          <w:ilvl w:val="0"/>
          <w:numId w:val="5"/>
        </w:numPr>
        <w:tabs>
          <w:tab w:val="left" w:pos="840"/>
          <w:tab w:val="clear" w:pos="420"/>
        </w:tabs>
        <w:ind w:left="845" w:hanging="425"/>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安全策略要求:（1）数据安全：建立 “每日增量 + 每周全量” 备份机制及故障恢复预案，敏感数据（财务审批、人事信息、涉密公文等）须采用国密算法加密，落实商用密码应用合规要求；（2）终端安全：须提供《零信任终端认证系统》，客户端安装许可数量不低于 1</w:t>
      </w:r>
      <w:r>
        <w:rPr>
          <w:rFonts w:hint="eastAsia" w:cs="Times New Roman"/>
          <w:szCs w:val="24"/>
          <w:lang w:val="en-US" w:eastAsia="zh-CN"/>
        </w:rPr>
        <w:t>0</w:t>
      </w:r>
      <w:r>
        <w:rPr>
          <w:rFonts w:hint="eastAsia" w:ascii="宋体" w:hAnsi="宋体" w:eastAsia="宋体" w:cs="Times New Roman"/>
          <w:szCs w:val="24"/>
          <w:lang w:val="en-US" w:eastAsia="zh-CN"/>
        </w:rPr>
        <w:t>000 套（覆盖全院授权用户终端），实现终端准入、身份认证等安全管控，相关费用已含在投标报价中。</w:t>
      </w:r>
    </w:p>
    <w:p>
      <w:pPr>
        <w:numPr>
          <w:ilvl w:val="0"/>
          <w:numId w:val="5"/>
        </w:numPr>
        <w:tabs>
          <w:tab w:val="left" w:pos="840"/>
          <w:tab w:val="clear" w:pos="420"/>
        </w:tabs>
        <w:ind w:left="845" w:hanging="425"/>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等保测评责任：投标人须负责系统三级等保测评的全流程配合工作，包括测评前整改、测评中技术支撑，确保系统通过三级等保测评并取得相关证明文件，相关费用已含在投标报价中。</w:t>
      </w:r>
    </w:p>
    <w:p>
      <w:pPr>
        <w:pStyle w:val="3"/>
        <w:bidi w:val="0"/>
        <w:rPr>
          <w:rFonts w:hint="default"/>
          <w:lang w:val="en-US" w:eastAsia="zh-CN"/>
        </w:rPr>
      </w:pPr>
      <w:bookmarkStart w:id="52" w:name="_Toc21980"/>
      <w:bookmarkStart w:id="53" w:name="_Toc27585"/>
      <w:bookmarkStart w:id="54" w:name="_Toc7920"/>
      <w:bookmarkStart w:id="55" w:name="_Toc16655"/>
      <w:bookmarkStart w:id="56" w:name="_Toc5544"/>
      <w:bookmarkStart w:id="57" w:name="_Toc28658"/>
      <w:bookmarkStart w:id="58" w:name="_Toc13988"/>
      <w:bookmarkStart w:id="59" w:name="_Toc19960"/>
      <w:bookmarkStart w:id="60" w:name="_Toc7630"/>
      <w:bookmarkStart w:id="61" w:name="_Toc19766"/>
      <w:bookmarkStart w:id="62" w:name="_Toc19900"/>
      <w:r>
        <w:rPr>
          <w:rFonts w:hint="eastAsia" w:cs="Times New Roman"/>
          <w:lang w:val="en-US" w:eastAsia="zh-CN"/>
        </w:rPr>
        <w:t>安全设计（安全架构）</w:t>
      </w:r>
      <w:bookmarkEnd w:id="52"/>
      <w:bookmarkEnd w:id="53"/>
      <w:bookmarkEnd w:id="54"/>
      <w:bookmarkEnd w:id="55"/>
      <w:bookmarkEnd w:id="56"/>
      <w:bookmarkEnd w:id="57"/>
      <w:bookmarkEnd w:id="58"/>
      <w:bookmarkEnd w:id="59"/>
      <w:bookmarkEnd w:id="60"/>
      <w:bookmarkEnd w:id="61"/>
      <w:r>
        <w:rPr>
          <w:rFonts w:hint="eastAsia"/>
          <w:lang w:eastAsia="zh-CN"/>
        </w:rPr>
        <w:t>要求</w:t>
      </w:r>
      <w:bookmarkEnd w:id="62"/>
    </w:p>
    <w:p>
      <w:pPr>
        <w:spacing w:line="480" w:lineRule="auto"/>
        <w:ind w:firstLine="480" w:firstLineChars="200"/>
        <w:rPr>
          <w:rFonts w:hint="default" w:cs="Times New Roman"/>
          <w:lang w:val="en-US" w:eastAsia="zh-CN"/>
        </w:rPr>
      </w:pPr>
      <w:r>
        <w:rPr>
          <w:rFonts w:hint="default" w:cs="Times New Roman"/>
          <w:lang w:val="en-US" w:eastAsia="zh-CN"/>
        </w:rPr>
        <w:t>平台提供了全面的安全防护措施，从代码编写安全规范要求到利用第三方技术进行安全加固，构建了完整的安全防护保障体系，能够满足涉密信息系统分级保护安全要求。</w:t>
      </w:r>
    </w:p>
    <w:p>
      <w:pPr>
        <w:spacing w:line="480" w:lineRule="auto"/>
        <w:ind w:firstLine="480" w:firstLineChars="200"/>
        <w:rPr>
          <w:rFonts w:hint="eastAsia" w:cs="Times New Roman"/>
          <w:lang w:val="en-US" w:eastAsia="zh-CN"/>
        </w:rPr>
      </w:pPr>
      <w:r>
        <w:rPr>
          <w:rFonts w:hint="default" w:cs="Times New Roman"/>
          <w:lang w:val="en-US" w:eastAsia="zh-CN"/>
        </w:rPr>
        <w:t>基于“零信任、动态授权、持续验证”的设计理念，构建覆盖终端接入层、网络传输层、应用系统层、数据存储层的纵深防御体系。严格遵循《信息安全技术 信息系统安全等级保护基本要求》及涉密信息系统分级保护相关技术规范，结合三级等保要求，通过多层次安全技术手段实现对医疗数据的全生命周期保护，确保系统符合涉密信息系统分级保护安全要求</w:t>
      </w:r>
      <w:r>
        <w:rPr>
          <w:rFonts w:hint="eastAsia" w:cs="Times New Roman"/>
          <w:lang w:val="en-US" w:eastAsia="zh-CN"/>
        </w:rPr>
        <w:t>，</w:t>
      </w:r>
      <w:r>
        <w:rPr>
          <w:rFonts w:hint="eastAsia" w:ascii="宋体" w:hAnsi="宋体" w:eastAsia="宋体" w:cs="Times New Roman"/>
          <w:szCs w:val="24"/>
          <w:lang w:val="en-US" w:eastAsia="zh-CN"/>
        </w:rPr>
        <w:t>相关费用已含在投标报价中</w:t>
      </w:r>
      <w:r>
        <w:rPr>
          <w:rFonts w:hint="default" w:cs="Times New Roman"/>
          <w:lang w:val="en-US" w:eastAsia="zh-CN"/>
        </w:rPr>
        <w:t>。</w:t>
      </w:r>
    </w:p>
    <w:p>
      <w:pPr>
        <w:pStyle w:val="3"/>
        <w:bidi w:val="0"/>
        <w:rPr>
          <w:rFonts w:hint="default"/>
          <w:lang w:val="en-US" w:eastAsia="zh-CN"/>
        </w:rPr>
      </w:pPr>
      <w:bookmarkStart w:id="63" w:name="_Toc2167"/>
      <w:r>
        <w:rPr>
          <w:rFonts w:hint="default"/>
          <w:lang w:val="en-US" w:eastAsia="zh-CN"/>
        </w:rPr>
        <w:t>多因素身份认证</w:t>
      </w:r>
      <w:r>
        <w:rPr>
          <w:rFonts w:hint="eastAsia"/>
          <w:lang w:val="en-US" w:eastAsia="zh-CN"/>
        </w:rPr>
        <w:t>登录</w:t>
      </w:r>
      <w:r>
        <w:rPr>
          <w:rFonts w:hint="eastAsia"/>
          <w:lang w:eastAsia="zh-CN"/>
        </w:rPr>
        <w:t>要求</w:t>
      </w:r>
      <w:bookmarkEnd w:id="63"/>
    </w:p>
    <w:p>
      <w:pPr>
        <w:keepNext w:val="0"/>
        <w:keepLines w:val="0"/>
        <w:pageBreakBefore w:val="0"/>
        <w:widowControl w:val="0"/>
        <w:numPr>
          <w:ilvl w:val="0"/>
          <w:numId w:val="6"/>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cs="Times New Roman"/>
          <w:sz w:val="24"/>
          <w:szCs w:val="24"/>
          <w:lang w:val="en-US" w:eastAsia="zh-CN"/>
        </w:rPr>
      </w:pPr>
      <w:r>
        <w:rPr>
          <w:rFonts w:hint="eastAsia" w:cs="Times New Roman"/>
          <w:sz w:val="24"/>
          <w:szCs w:val="24"/>
          <w:lang w:val="en-US" w:eastAsia="zh-CN"/>
        </w:rPr>
        <w:t>采用"用户名 + 密码 + 手机短信 + 行为验证码" 等四种多因素认证机制登录系统，也可结全第三方CA验证方式登录。</w:t>
      </w:r>
    </w:p>
    <w:p>
      <w:pPr>
        <w:keepNext w:val="0"/>
        <w:keepLines w:val="0"/>
        <w:pageBreakBefore w:val="0"/>
        <w:widowControl w:val="0"/>
        <w:numPr>
          <w:ilvl w:val="0"/>
          <w:numId w:val="6"/>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cs="Times New Roman"/>
          <w:sz w:val="24"/>
          <w:szCs w:val="24"/>
          <w:lang w:val="en-US" w:eastAsia="zh-CN"/>
        </w:rPr>
      </w:pPr>
      <w:r>
        <w:rPr>
          <w:rFonts w:hint="eastAsia" w:cs="Times New Roman"/>
          <w:sz w:val="24"/>
          <w:szCs w:val="24"/>
          <w:lang w:val="en-US" w:eastAsia="zh-CN"/>
        </w:rPr>
        <w:t>集成CA 数字证书体系，为每个用户颁发唯一数字证书，实现身份的不可抵赖性</w:t>
      </w:r>
    </w:p>
    <w:p>
      <w:pPr>
        <w:keepNext w:val="0"/>
        <w:keepLines w:val="0"/>
        <w:pageBreakBefore w:val="0"/>
        <w:widowControl w:val="0"/>
        <w:numPr>
          <w:ilvl w:val="0"/>
          <w:numId w:val="6"/>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cs="Times New Roman"/>
          <w:sz w:val="24"/>
          <w:szCs w:val="24"/>
          <w:lang w:val="en-US" w:eastAsia="zh-CN"/>
        </w:rPr>
      </w:pPr>
      <w:r>
        <w:rPr>
          <w:rFonts w:hint="eastAsia" w:cs="Times New Roman"/>
          <w:sz w:val="24"/>
          <w:szCs w:val="24"/>
          <w:lang w:val="en-US" w:eastAsia="zh-CN"/>
        </w:rPr>
        <w:t>零信任终端认证平台：基于“永不信任，始终验证”原则，构建终端身份认证、环境评估、动态授权的零信任体系，作为OA系统接入的前置安全准入验证,未安装“零信任终端安全防御认证系统客户端</w:t>
      </w:r>
      <w:r>
        <w:rPr>
          <w:rFonts w:hint="default" w:cs="Times New Roman"/>
          <w:sz w:val="24"/>
          <w:szCs w:val="24"/>
          <w:lang w:val="en-US" w:eastAsia="zh-CN"/>
        </w:rPr>
        <w:t>”</w:t>
      </w:r>
      <w:r>
        <w:rPr>
          <w:rFonts w:hint="eastAsia" w:cs="Times New Roman"/>
          <w:sz w:val="24"/>
          <w:szCs w:val="24"/>
          <w:lang w:val="en-US" w:eastAsia="zh-CN"/>
        </w:rPr>
        <w:t>,禁止客户端访问系统（包括PC端，移动APP端），</w:t>
      </w:r>
      <w:r>
        <w:rPr>
          <w:rFonts w:hint="eastAsia" w:ascii="宋体" w:hAnsi="宋体" w:eastAsia="宋体" w:cs="Times New Roman"/>
          <w:szCs w:val="24"/>
          <w:lang w:val="en-US" w:eastAsia="zh-CN"/>
        </w:rPr>
        <w:t>相关费用已含在投标报价中</w:t>
      </w:r>
      <w:r>
        <w:rPr>
          <w:rFonts w:hint="eastAsia" w:cs="Times New Roman"/>
          <w:sz w:val="24"/>
          <w:szCs w:val="24"/>
          <w:lang w:val="en-US" w:eastAsia="zh-CN"/>
        </w:rPr>
        <w:t>。</w:t>
      </w:r>
    </w:p>
    <w:p>
      <w:pPr>
        <w:keepNext w:val="0"/>
        <w:keepLines w:val="0"/>
        <w:pageBreakBefore w:val="0"/>
        <w:widowControl w:val="0"/>
        <w:numPr>
          <w:ilvl w:val="0"/>
          <w:numId w:val="6"/>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cs="Times New Roman"/>
          <w:sz w:val="24"/>
          <w:szCs w:val="24"/>
          <w:lang w:val="en-US" w:eastAsia="zh-CN"/>
        </w:rPr>
      </w:pPr>
      <w:r>
        <w:rPr>
          <w:rFonts w:hint="eastAsia" w:cs="Times New Roman"/>
          <w:sz w:val="24"/>
          <w:szCs w:val="24"/>
          <w:lang w:val="en-US" w:eastAsia="zh-CN"/>
        </w:rPr>
        <w:t>基于省一院现有防火墙系统，进一步强化安全防护体系：部署 Web 应用防火墙（WAF）抵御 SQL注入、XSS 跨站脚本等 Web 攻击，通过数据库审计系统实时监控核心数据操作行为（含访问、修改、导出等），全程满足网络安全等级保护 2.0 三级标准及医疗行业数据安全、隐私保护等特殊合规要求。</w:t>
      </w:r>
    </w:p>
    <w:p>
      <w:pPr>
        <w:pStyle w:val="3"/>
        <w:bidi w:val="0"/>
        <w:rPr>
          <w:rFonts w:hint="default"/>
          <w:lang w:val="en-US" w:eastAsia="zh-CN"/>
        </w:rPr>
      </w:pPr>
      <w:bookmarkStart w:id="64" w:name="_Toc15895"/>
      <w:r>
        <w:rPr>
          <w:rFonts w:hint="eastAsia"/>
          <w:lang w:val="en-US" w:eastAsia="zh-CN"/>
        </w:rPr>
        <w:t>零信任终端安全准入控制</w:t>
      </w:r>
      <w:r>
        <w:rPr>
          <w:rFonts w:hint="eastAsia"/>
          <w:lang w:eastAsia="zh-CN"/>
        </w:rPr>
        <w:t>要求</w:t>
      </w:r>
      <w:bookmarkEnd w:id="64"/>
    </w:p>
    <w:p>
      <w:pPr>
        <w:keepNext w:val="0"/>
        <w:keepLines w:val="0"/>
        <w:pageBreakBefore w:val="0"/>
        <w:widowControl w:val="0"/>
        <w:numPr>
          <w:ilvl w:val="0"/>
          <w:numId w:val="7"/>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cs="Times New Roman"/>
          <w:sz w:val="24"/>
          <w:szCs w:val="24"/>
          <w:lang w:val="en-US" w:eastAsia="zh-CN"/>
        </w:rPr>
      </w:pPr>
      <w:r>
        <w:rPr>
          <w:rFonts w:hint="eastAsia" w:cs="Times New Roman"/>
          <w:sz w:val="24"/>
          <w:szCs w:val="24"/>
          <w:lang w:val="en-US" w:eastAsia="zh-CN"/>
        </w:rPr>
        <w:t>零信任终端安全防御认证系统：作为准入控制核心支撑，基于“零信任”核心安全架构，对所有试图访问系统的用户及设备实施持续动态的身份验证与访问管控，确保访问主体合法合规，为后续准入认证筑牢基础。</w:t>
      </w:r>
    </w:p>
    <w:p>
      <w:pPr>
        <w:keepNext w:val="0"/>
        <w:keepLines w:val="0"/>
        <w:pageBreakBefore w:val="0"/>
        <w:widowControl w:val="0"/>
        <w:numPr>
          <w:ilvl w:val="0"/>
          <w:numId w:val="7"/>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cs="Times New Roman"/>
          <w:sz w:val="24"/>
          <w:szCs w:val="24"/>
          <w:lang w:val="en-US" w:eastAsia="zh-CN"/>
        </w:rPr>
      </w:pPr>
      <w:r>
        <w:rPr>
          <w:rFonts w:hint="eastAsia" w:cs="Times New Roman"/>
          <w:sz w:val="24"/>
          <w:szCs w:val="24"/>
          <w:lang w:val="en-US" w:eastAsia="zh-CN"/>
        </w:rPr>
        <w:t>零信任终端安全防御认证系统客户端：作为准入控制核心载体，其核心作用是采用“CPU序列号+硬盘物理序列号”双硬件特征值组合算法，生成设备唯一安全标识码（Security ID）。该安全标识码须完成系统后台注册，经准入认证通过后，方可构建“用户-设备”二元认证准入安全体系，实现“仅安装客户端且认证通过的设备可访问”的核心管控目标。</w:t>
      </w:r>
    </w:p>
    <w:p>
      <w:pPr>
        <w:keepNext w:val="0"/>
        <w:keepLines w:val="0"/>
        <w:pageBreakBefore w:val="0"/>
        <w:widowControl w:val="0"/>
        <w:numPr>
          <w:ilvl w:val="0"/>
          <w:numId w:val="7"/>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cs="Times New Roman"/>
          <w:sz w:val="24"/>
          <w:szCs w:val="24"/>
          <w:lang w:val="en-US" w:eastAsia="zh-CN"/>
        </w:rPr>
      </w:pPr>
      <w:r>
        <w:rPr>
          <w:rFonts w:hint="eastAsia" w:cs="Times New Roman"/>
          <w:sz w:val="24"/>
          <w:szCs w:val="24"/>
          <w:lang w:val="en-US" w:eastAsia="zh-CN"/>
        </w:rPr>
        <w:t>认证引擎部署与双重校验机制：系统后台独立部署安全码认证引擎，对所有登录请求逐一执行双重校验：①用户身份凭证（如账号密码、行为验证码，CA证书等）的合法性校验；②设备安全标识码与系统后台注册信息的一致性校验。多重校验全部通过后，设备方可访问OA系统及OA系统服务器网络；未通过则直接禁止访问。</w:t>
      </w:r>
    </w:p>
    <w:p>
      <w:pPr>
        <w:keepNext w:val="0"/>
        <w:keepLines w:val="0"/>
        <w:pageBreakBefore w:val="0"/>
        <w:widowControl w:val="0"/>
        <w:numPr>
          <w:ilvl w:val="0"/>
          <w:numId w:val="7"/>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cs="Times New Roman"/>
          <w:sz w:val="24"/>
          <w:szCs w:val="24"/>
          <w:lang w:val="en-US" w:eastAsia="zh-CN"/>
        </w:rPr>
      </w:pPr>
      <w:r>
        <w:rPr>
          <w:rFonts w:hint="eastAsia" w:cs="Times New Roman"/>
          <w:sz w:val="24"/>
          <w:szCs w:val="24"/>
          <w:lang w:val="en-US" w:eastAsia="zh-CN"/>
        </w:rPr>
        <w:t>异常行为检测与防护：建立异常登录行为智能检测模型，基于设备安全码、IP访问轨迹、MAC地址、硬件特征变更等多维度数据，对异地登录、陌生设备访问、硬件特征异常变更等场景，自动触发多因素认证流程（支持设备安全码、用户名密码、行为验证码、CA证书等组合认证方式）。对未通过准入认证的设备、账号、IP地址、MAC地址等对象，强制执行禁止访问、限制访问、会话冻结等精准防护措施。</w:t>
      </w:r>
    </w:p>
    <w:p>
      <w:pPr>
        <w:pStyle w:val="2"/>
        <w:bidi w:val="0"/>
      </w:pPr>
      <w:bookmarkStart w:id="65" w:name="_Toc26677"/>
      <w:bookmarkStart w:id="66" w:name="_Toc24622"/>
      <w:bookmarkStart w:id="67" w:name="_Toc31829"/>
      <w:r>
        <w:rPr>
          <w:rFonts w:hint="eastAsia"/>
        </w:rPr>
        <w:t>项目实施及培训要求</w:t>
      </w:r>
      <w:bookmarkEnd w:id="65"/>
      <w:bookmarkEnd w:id="66"/>
      <w:bookmarkEnd w:id="67"/>
    </w:p>
    <w:p>
      <w:pPr>
        <w:pStyle w:val="3"/>
        <w:bidi w:val="0"/>
      </w:pPr>
      <w:bookmarkStart w:id="68" w:name="_Toc5039"/>
      <w:bookmarkStart w:id="69" w:name="_Toc15978"/>
      <w:bookmarkStart w:id="70" w:name="_Toc12705"/>
      <w:r>
        <w:rPr>
          <w:rFonts w:hint="eastAsia"/>
        </w:rPr>
        <w:t>工期要求</w:t>
      </w:r>
      <w:bookmarkEnd w:id="68"/>
      <w:bookmarkEnd w:id="69"/>
      <w:bookmarkEnd w:id="70"/>
    </w:p>
    <w:p>
      <w:pPr>
        <w:ind w:left="-17" w:leftChars="-7" w:firstLine="435"/>
        <w:rPr>
          <w:rFonts w:ascii="宋体" w:hAnsi="宋体"/>
          <w:b/>
          <w:szCs w:val="21"/>
        </w:rPr>
      </w:pPr>
      <w:r>
        <w:rPr>
          <w:rFonts w:hint="eastAsia" w:ascii="宋体" w:hAnsi="宋体"/>
          <w:b/>
          <w:szCs w:val="21"/>
        </w:rPr>
        <w:t>本项目要求合同签订后</w:t>
      </w:r>
      <w:r>
        <w:rPr>
          <w:rFonts w:hint="eastAsia"/>
          <w:b/>
          <w:szCs w:val="21"/>
          <w:highlight w:val="yellow"/>
          <w:lang w:val="en-US" w:eastAsia="zh-CN"/>
        </w:rPr>
        <w:t>30</w:t>
      </w:r>
      <w:r>
        <w:rPr>
          <w:rFonts w:hint="eastAsia" w:ascii="宋体" w:hAnsi="宋体"/>
          <w:b/>
          <w:szCs w:val="21"/>
        </w:rPr>
        <w:t>个工作日内完成。</w:t>
      </w:r>
    </w:p>
    <w:p>
      <w:pPr>
        <w:pStyle w:val="3"/>
        <w:bidi w:val="0"/>
      </w:pPr>
      <w:bookmarkStart w:id="71" w:name="_Toc18255"/>
      <w:bookmarkStart w:id="72" w:name="_Toc1129"/>
      <w:bookmarkStart w:id="73" w:name="_Toc17357"/>
      <w:r>
        <w:t>项目团队要求</w:t>
      </w:r>
      <w:bookmarkEnd w:id="71"/>
      <w:bookmarkEnd w:id="72"/>
      <w:bookmarkEnd w:id="73"/>
    </w:p>
    <w:p>
      <w:pPr>
        <w:keepNext w:val="0"/>
        <w:keepLines w:val="0"/>
        <w:pageBreakBefore w:val="0"/>
        <w:widowControl w:val="0"/>
        <w:numPr>
          <w:ilvl w:val="0"/>
          <w:numId w:val="8"/>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由双方高层组成联合项目领导小组，主要负责项目指导，重大决策、资源协调。</w:t>
      </w:r>
    </w:p>
    <w:p>
      <w:pPr>
        <w:keepNext w:val="0"/>
        <w:keepLines w:val="0"/>
        <w:pageBreakBefore w:val="0"/>
        <w:widowControl w:val="0"/>
        <w:numPr>
          <w:ilvl w:val="0"/>
          <w:numId w:val="8"/>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由双方主要负责人组成项目质量管理组，项目质量管理与质量控制。</w:t>
      </w:r>
    </w:p>
    <w:p>
      <w:pPr>
        <w:keepNext w:val="0"/>
        <w:keepLines w:val="0"/>
        <w:pageBreakBefore w:val="0"/>
        <w:widowControl w:val="0"/>
        <w:numPr>
          <w:ilvl w:val="0"/>
          <w:numId w:val="8"/>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中标人项目组由项目经理负责，应保证项目团队成员稳定性。。</w:t>
      </w:r>
    </w:p>
    <w:p>
      <w:pPr>
        <w:keepNext w:val="0"/>
        <w:keepLines w:val="0"/>
        <w:pageBreakBefore w:val="0"/>
        <w:widowControl w:val="0"/>
        <w:numPr>
          <w:ilvl w:val="0"/>
          <w:numId w:val="8"/>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项目团队主要业务顾问具有本项目相关业务的丰富经验，以保证咨询服务和管理标准化的质量，保证项目重要技术实施的质量。</w:t>
      </w:r>
    </w:p>
    <w:p>
      <w:pPr>
        <w:pStyle w:val="3"/>
        <w:bidi w:val="0"/>
      </w:pPr>
      <w:r>
        <w:rPr>
          <w:rFonts w:hint="eastAsia"/>
        </w:rPr>
        <w:t>实施及服务要求评审</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b/>
          <w:sz w:val="28"/>
          <w:szCs w:val="28"/>
          <w:lang w:eastAsia="zh-CN"/>
        </w:rPr>
        <w:t>以下5项实施及服务要求，每一项均需要投标人提供承诺函，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（1）客户端安装使用无数量限制，免费开放一定代码权限；</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本次投标所提供的系统能与采购人现使用的相关系统、集成平台、医院微信公众号及医院因业务需求需要对接的系统等免费无缝集成，无条件免费开放所有接口和数据结构，并完成相关接口开发，对接本项目涉及到与第三方软件业务系统所发生的接口费用由投标人全额承担；</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（3）投标人提供的系统符合国家对信息系统三级及以上等级安全保护要求标准，并承诺配合完成系统三级及以上等保测评及后续整改工作；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（4）系统验收后2 年内与医院在用或新建的各系统按医院要求免费对接，不限接口形式；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（5）系统建设要求配合医院完成电子病历</w:t>
      </w:r>
      <w:r>
        <w:rPr>
          <w:rFonts w:hint="eastAsia" w:ascii="方正仿宋_GBK" w:hAnsi="方正仿宋_GBK" w:eastAsia="方正仿宋_GBK" w:cs="方正仿宋_GBK"/>
          <w:sz w:val="28"/>
          <w:szCs w:val="28"/>
          <w:lang w:val="en-US" w:eastAsia="zh-CN"/>
        </w:rPr>
        <w:t>六</w:t>
      </w:r>
      <w:r>
        <w:rPr>
          <w:rFonts w:hint="eastAsia" w:ascii="方正仿宋_GBK" w:hAnsi="方正仿宋_GBK" w:eastAsia="方正仿宋_GBK" w:cs="方正仿宋_GBK"/>
          <w:sz w:val="28"/>
          <w:szCs w:val="28"/>
          <w:lang w:eastAsia="zh-CN"/>
        </w:rPr>
        <w:t>级和智慧医院3级评审的相关建设工作。</w:t>
      </w:r>
    </w:p>
    <w:p>
      <w:pPr>
        <w:keepNext w:val="0"/>
        <w:keepLines w:val="0"/>
        <w:pageBreakBefore w:val="0"/>
        <w:widowControl w:val="0"/>
        <w:numPr>
          <w:numId w:val="0"/>
        </w:numPr>
        <w:tabs>
          <w:tab w:val="left" w:pos="840"/>
        </w:tabs>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sz w:val="24"/>
          <w:szCs w:val="24"/>
          <w:lang w:val="en-US" w:eastAsia="zh-CN"/>
        </w:rPr>
      </w:pPr>
    </w:p>
    <w:p>
      <w:pPr>
        <w:pStyle w:val="3"/>
        <w:bidi w:val="0"/>
      </w:pPr>
      <w:bookmarkStart w:id="74" w:name="_Toc17983"/>
      <w:bookmarkStart w:id="75" w:name="_Toc17739"/>
      <w:bookmarkStart w:id="76" w:name="_Toc16999"/>
      <w:r>
        <w:rPr>
          <w:rFonts w:hint="eastAsia"/>
        </w:rPr>
        <w:t>培训要求</w:t>
      </w:r>
      <w:bookmarkEnd w:id="74"/>
      <w:bookmarkEnd w:id="75"/>
      <w:bookmarkEnd w:id="76"/>
    </w:p>
    <w:p>
      <w:pPr>
        <w:keepNext w:val="0"/>
        <w:keepLines w:val="0"/>
        <w:pageBreakBefore w:val="0"/>
        <w:widowControl w:val="0"/>
        <w:numPr>
          <w:ilvl w:val="0"/>
          <w:numId w:val="9"/>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项目中标人负责对甲方人员提供技术培训，包括操作人员培训和管理维护人员培训。投标人应在投标文件中提出培训计划，计划包括培训类别、培训项目及培训方式等详细内容，达到使相关人员熟练使用系统的目的。中标人负责编制完善的培训材料。</w:t>
      </w:r>
    </w:p>
    <w:p>
      <w:pPr>
        <w:pStyle w:val="3"/>
        <w:bidi w:val="0"/>
      </w:pPr>
      <w:bookmarkStart w:id="77" w:name="_Toc30097"/>
      <w:bookmarkStart w:id="78" w:name="_Toc6159"/>
      <w:bookmarkStart w:id="79" w:name="_Toc27808"/>
      <w:r>
        <w:rPr>
          <w:rFonts w:hint="eastAsia"/>
        </w:rPr>
        <w:t>验收</w:t>
      </w:r>
      <w:bookmarkEnd w:id="77"/>
      <w:bookmarkEnd w:id="78"/>
      <w:r>
        <w:rPr>
          <w:rFonts w:hint="eastAsia"/>
          <w:lang w:eastAsia="zh-CN"/>
        </w:rPr>
        <w:t>要求</w:t>
      </w:r>
      <w:bookmarkEnd w:id="79"/>
    </w:p>
    <w:p>
      <w:pPr>
        <w:keepNext w:val="0"/>
        <w:keepLines w:val="0"/>
        <w:pageBreakBefore w:val="0"/>
        <w:widowControl w:val="0"/>
        <w:numPr>
          <w:ilvl w:val="0"/>
          <w:numId w:val="10"/>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项目的验收分初验和终验两个阶段，根据采购人的项目实施进度要求，系统完成开发部署，整体上线后进行项目初验，并进入试运行阶段，试运行期满达到招标要求后进行终验。中标人要提供详尽的项目验收方案，包括验收组织、验收内容、验收标准、验收报告等。</w:t>
      </w:r>
    </w:p>
    <w:p>
      <w:pPr>
        <w:pStyle w:val="2"/>
        <w:bidi w:val="0"/>
      </w:pPr>
      <w:bookmarkStart w:id="80" w:name="_Toc5238"/>
      <w:bookmarkStart w:id="81" w:name="_Toc11068"/>
      <w:bookmarkStart w:id="82" w:name="_Toc22125"/>
      <w:r>
        <w:rPr>
          <w:rFonts w:hint="eastAsia"/>
        </w:rPr>
        <w:t>售后服务</w:t>
      </w:r>
      <w:bookmarkEnd w:id="80"/>
      <w:bookmarkEnd w:id="81"/>
      <w:r>
        <w:rPr>
          <w:rFonts w:hint="eastAsia"/>
          <w:lang w:eastAsia="zh-CN"/>
        </w:rPr>
        <w:t>要求</w:t>
      </w:r>
      <w:bookmarkEnd w:id="82"/>
    </w:p>
    <w:p>
      <w:pPr>
        <w:keepNext w:val="0"/>
        <w:keepLines w:val="0"/>
        <w:pageBreakBefore w:val="0"/>
        <w:widowControl w:val="0"/>
        <w:numPr>
          <w:ilvl w:val="0"/>
          <w:numId w:val="11"/>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项目验收通过后，提供   年（至少1年）的系统免费维护;保证系统稳定运行，并根据国家及云南省相关政策及文件变化，免费完善系统相关功能;根据实际业务需求对本项目功能需求调整完善。并持续根据省级要求，与医院其他相关业务系统进行持续对接，并根据要求组织培训或其他数据填报工作。</w:t>
      </w:r>
    </w:p>
    <w:p>
      <w:pPr>
        <w:keepNext w:val="0"/>
        <w:keepLines w:val="0"/>
        <w:pageBreakBefore w:val="0"/>
        <w:widowControl w:val="0"/>
        <w:numPr>
          <w:ilvl w:val="0"/>
          <w:numId w:val="11"/>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投标人保证有专门的客户服务机构和人员，能够提供7*24小时电话服务响应；对于必须派人现场解决的问题，保证在收到现场服务通知后，</w:t>
      </w:r>
      <w:r>
        <w:rPr>
          <w:rFonts w:hint="eastAsia" w:cs="Times New Roman"/>
          <w:sz w:val="24"/>
          <w:szCs w:val="24"/>
          <w:lang w:val="en-US" w:eastAsia="zh-CN"/>
        </w:rPr>
        <w:t>1</w:t>
      </w:r>
      <w:r>
        <w:rPr>
          <w:rFonts w:hint="eastAsia" w:ascii="宋体" w:hAnsi="宋体" w:eastAsia="宋体" w:cs="Times New Roman"/>
          <w:sz w:val="24"/>
          <w:szCs w:val="24"/>
          <w:lang w:val="en-US" w:eastAsia="zh-CN"/>
        </w:rPr>
        <w:t>小时内到达。</w:t>
      </w:r>
      <w:r>
        <w:rPr>
          <w:rFonts w:hint="eastAsia" w:cs="Times New Roman"/>
          <w:sz w:val="24"/>
          <w:szCs w:val="24"/>
          <w:lang w:val="en-US" w:eastAsia="zh-CN"/>
        </w:rPr>
        <w:t>最好能安排驻场运维服务。</w:t>
      </w:r>
    </w:p>
    <w:p>
      <w:pPr>
        <w:keepNext w:val="0"/>
        <w:keepLines w:val="0"/>
        <w:pageBreakBefore w:val="0"/>
        <w:widowControl w:val="0"/>
        <w:numPr>
          <w:numId w:val="0"/>
        </w:numPr>
        <w:tabs>
          <w:tab w:val="left" w:pos="840"/>
        </w:tabs>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sz w:val="24"/>
          <w:szCs w:val="24"/>
          <w:lang w:val="en-US" w:eastAsia="zh-CN"/>
        </w:rPr>
      </w:pPr>
      <w:bookmarkStart w:id="86" w:name="_GoBack"/>
      <w:bookmarkEnd w:id="86"/>
    </w:p>
    <w:p>
      <w:pPr>
        <w:pStyle w:val="2"/>
        <w:bidi w:val="0"/>
        <w:rPr>
          <w:rFonts w:hint="eastAsia" w:cs="Times New Roman"/>
          <w:lang w:eastAsia="zh-CN"/>
        </w:rPr>
      </w:pPr>
      <w:bookmarkStart w:id="83" w:name="_Toc26316"/>
      <w:r>
        <w:rPr>
          <w:rFonts w:hint="eastAsia" w:cs="Times New Roman"/>
          <w:lang w:eastAsia="zh-CN"/>
        </w:rPr>
        <w:t>建设技术和功能模块</w:t>
      </w:r>
      <w:r>
        <w:rPr>
          <w:rFonts w:hint="eastAsia"/>
          <w:lang w:eastAsia="zh-CN"/>
        </w:rPr>
        <w:t>要求</w:t>
      </w:r>
      <w:bookmarkEnd w:id="83"/>
    </w:p>
    <w:p>
      <w:pPr>
        <w:pStyle w:val="3"/>
        <w:bidi w:val="0"/>
        <w:rPr>
          <w:rFonts w:hint="eastAsia"/>
          <w:lang w:eastAsia="zh-CN"/>
        </w:rPr>
      </w:pPr>
      <w:bookmarkStart w:id="84" w:name="_Toc30408"/>
      <w:r>
        <w:rPr>
          <w:rFonts w:hint="eastAsia"/>
          <w:lang w:eastAsia="zh-CN"/>
        </w:rPr>
        <w:t>用户规模</w:t>
      </w:r>
      <w:bookmarkEnd w:id="84"/>
    </w:p>
    <w:p>
      <w:pPr>
        <w:ind w:firstLine="480" w:firstLineChars="200"/>
        <w:rPr>
          <w:rFonts w:hint="eastAsia"/>
          <w:lang w:eastAsia="zh-CN"/>
        </w:rPr>
      </w:pPr>
      <w:r>
        <w:rPr>
          <w:rFonts w:hint="eastAsia"/>
          <w:lang w:eastAsia="zh-CN"/>
        </w:rPr>
        <w:t>系统用户覆盖范围全面，包含云南省第一人民医院全院职工、进修生、实习生及第三方供应商，我院明确要求系统需</w:t>
      </w:r>
      <w:r>
        <w:rPr>
          <w:rFonts w:hint="eastAsia"/>
          <w:lang w:val="en-US" w:eastAsia="zh-CN"/>
        </w:rPr>
        <w:t>不低于8000</w:t>
      </w:r>
      <w:r>
        <w:rPr>
          <w:rFonts w:hint="eastAsia"/>
          <w:lang w:eastAsia="zh-CN"/>
        </w:rPr>
        <w:t>人用户许可，且该许可同时涵盖Web端</w:t>
      </w:r>
      <w:r>
        <w:rPr>
          <w:rFonts w:hint="eastAsia"/>
          <w:lang w:val="en-US" w:eastAsia="zh-CN"/>
        </w:rPr>
        <w:t>8000</w:t>
      </w:r>
      <w:r>
        <w:rPr>
          <w:rFonts w:hint="eastAsia"/>
          <w:lang w:eastAsia="zh-CN"/>
        </w:rPr>
        <w:t xml:space="preserve">人用户许可及所有移动端APP </w:t>
      </w:r>
      <w:r>
        <w:rPr>
          <w:rFonts w:hint="eastAsia"/>
          <w:lang w:val="en-US" w:eastAsia="zh-CN"/>
        </w:rPr>
        <w:t>8000</w:t>
      </w:r>
      <w:r>
        <w:rPr>
          <w:rFonts w:hint="eastAsia"/>
          <w:lang w:eastAsia="zh-CN"/>
        </w:rPr>
        <w:t>人用户许可。服务对象涵盖临床医护人员、行政管理人员、后勤保障人员等全岗位群体，可精准匹配不同岗位的个性化办公需求，保障各类用户高效开展工作，</w:t>
      </w:r>
      <w:r>
        <w:rPr>
          <w:rFonts w:hint="eastAsia" w:ascii="宋体" w:hAnsi="宋体" w:eastAsia="宋体" w:cs="Times New Roman"/>
          <w:szCs w:val="24"/>
          <w:lang w:val="en-US" w:eastAsia="zh-CN"/>
        </w:rPr>
        <w:t>相关费用已含在投标报价中</w:t>
      </w:r>
      <w:r>
        <w:rPr>
          <w:rFonts w:hint="eastAsia"/>
          <w:lang w:eastAsia="zh-CN"/>
        </w:rPr>
        <w:t>。</w:t>
      </w:r>
    </w:p>
    <w:p>
      <w:pPr>
        <w:pStyle w:val="3"/>
        <w:bidi w:val="0"/>
        <w:rPr>
          <w:rFonts w:hint="eastAsia"/>
          <w:lang w:eastAsia="zh-CN"/>
        </w:rPr>
      </w:pPr>
      <w:bookmarkStart w:id="85" w:name="_Toc17466"/>
      <w:r>
        <w:rPr>
          <w:rFonts w:hint="eastAsia"/>
          <w:lang w:eastAsia="zh-CN"/>
        </w:rPr>
        <w:t>项目成果功能模块要求</w:t>
      </w:r>
      <w:bookmarkEnd w:id="85"/>
    </w:p>
    <w:p>
      <w:pPr>
        <w:ind w:firstLine="480" w:firstLineChars="200"/>
        <w:rPr>
          <w:rFonts w:hint="eastAsia"/>
          <w:lang w:eastAsia="zh-CN"/>
        </w:rPr>
      </w:pPr>
      <w:r>
        <w:rPr>
          <w:rFonts w:hint="eastAsia"/>
          <w:lang w:eastAsia="zh-CN"/>
        </w:rPr>
        <w:t>系统构建全方位功能体系，涵盖核心维度：</w:t>
      </w:r>
    </w:p>
    <w:p>
      <w:pPr>
        <w:ind w:firstLine="480" w:firstLineChars="200"/>
        <w:rPr>
          <w:rFonts w:hint="eastAsia"/>
          <w:lang w:eastAsia="zh-CN"/>
        </w:rPr>
      </w:pPr>
      <w:r>
        <w:rPr>
          <w:rFonts w:hint="eastAsia"/>
          <w:lang w:eastAsia="zh-CN"/>
        </w:rPr>
        <w:t>一是核心业务模块，包括个人中心、办公门户、门户管理、内控管理、内部邮件、流程管理、文档管理、公文管理、日程管理、任务管理、通讯录、目标管理、综合办公、人事信息管理、自定义表单、自定义流程、自定义报表、系统后台管理、即时通讯（IM）、视频会议系统（私有化布署）、移动办公、数据集成、安全管理等；</w:t>
      </w:r>
    </w:p>
    <w:p>
      <w:pPr>
        <w:ind w:firstLine="480" w:firstLineChars="200"/>
        <w:rPr>
          <w:rFonts w:hint="eastAsia"/>
          <w:lang w:eastAsia="zh-CN"/>
        </w:rPr>
      </w:pPr>
      <w:r>
        <w:rPr>
          <w:rFonts w:hint="eastAsia"/>
          <w:lang w:eastAsia="zh-CN"/>
        </w:rPr>
        <w:t>二是拓展应用能力，支持OFD文档预览；</w:t>
      </w:r>
    </w:p>
    <w:p>
      <w:pPr>
        <w:ind w:firstLine="480" w:firstLineChars="200"/>
        <w:rPr>
          <w:rFonts w:hint="eastAsia"/>
          <w:lang w:eastAsia="zh-CN"/>
        </w:rPr>
      </w:pPr>
      <w:r>
        <w:rPr>
          <w:rFonts w:hint="eastAsia"/>
          <w:lang w:eastAsia="zh-CN"/>
        </w:rPr>
        <w:t>三是信创架构支撑，采用"框架+应用组件+功能定制平台"的信创架构模型，主体由30余个子系统组成，保障系统兼容性与可扩展性。</w:t>
      </w:r>
    </w:p>
    <w:tbl>
      <w:tblPr>
        <w:tblStyle w:val="7"/>
        <w:tblW w:w="8651"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800"/>
        <w:gridCol w:w="2505"/>
        <w:gridCol w:w="2183"/>
        <w:gridCol w:w="752"/>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323" w:type="dxa"/>
            <w:gridSpan w:val="2"/>
            <w:shd w:val="clear" w:color="auto" w:fill="00B0F0"/>
            <w:noWrap w:val="0"/>
            <w:vAlign w:val="top"/>
          </w:tcPr>
          <w:p>
            <w:pPr>
              <w:keepNext w:val="0"/>
              <w:keepLines w:val="0"/>
              <w:suppressLineNumbers w:val="0"/>
              <w:spacing w:before="0" w:beforeAutospacing="0" w:after="0" w:afterAutospacing="0" w:line="420" w:lineRule="exact"/>
              <w:ind w:left="0" w:right="0"/>
              <w:jc w:val="center"/>
              <w:rPr>
                <w:rFonts w:hint="eastAsia" w:ascii="宋体" w:hAnsi="宋体"/>
                <w:b/>
                <w:color w:val="FFFFFF"/>
                <w:sz w:val="21"/>
                <w:szCs w:val="21"/>
              </w:rPr>
            </w:pPr>
            <w:r>
              <w:rPr>
                <w:rFonts w:hint="eastAsia" w:ascii="宋体" w:hAnsi="宋体"/>
                <w:b/>
                <w:color w:val="FFFFFF"/>
                <w:sz w:val="21"/>
                <w:szCs w:val="21"/>
              </w:rPr>
              <w:t>项目名称</w:t>
            </w:r>
          </w:p>
        </w:tc>
        <w:tc>
          <w:tcPr>
            <w:tcW w:w="4688" w:type="dxa"/>
            <w:gridSpan w:val="2"/>
            <w:shd w:val="clear" w:color="auto" w:fill="00B0F0"/>
            <w:noWrap w:val="0"/>
            <w:vAlign w:val="top"/>
          </w:tcPr>
          <w:p>
            <w:pPr>
              <w:keepNext w:val="0"/>
              <w:keepLines w:val="0"/>
              <w:suppressLineNumbers w:val="0"/>
              <w:spacing w:before="0" w:beforeAutospacing="0" w:after="0" w:afterAutospacing="0" w:line="420" w:lineRule="exact"/>
              <w:ind w:left="0" w:right="0"/>
              <w:jc w:val="center"/>
              <w:rPr>
                <w:rFonts w:hint="eastAsia" w:ascii="宋体" w:hAnsi="宋体" w:eastAsia="宋体"/>
                <w:b/>
                <w:color w:val="FFFFFF"/>
                <w:sz w:val="21"/>
                <w:szCs w:val="21"/>
                <w:lang w:val="en-US" w:eastAsia="zh-CN"/>
              </w:rPr>
            </w:pPr>
            <w:r>
              <w:rPr>
                <w:rFonts w:hint="eastAsia" w:ascii="宋体" w:hAnsi="宋体"/>
                <w:b/>
                <w:color w:val="FFFFFF"/>
                <w:sz w:val="21"/>
                <w:szCs w:val="21"/>
              </w:rPr>
              <w:t>描述</w:t>
            </w:r>
          </w:p>
        </w:tc>
        <w:tc>
          <w:tcPr>
            <w:tcW w:w="752" w:type="dxa"/>
            <w:shd w:val="clear" w:color="auto" w:fill="00B0F0"/>
            <w:noWrap w:val="0"/>
            <w:vAlign w:val="top"/>
          </w:tcPr>
          <w:p>
            <w:pPr>
              <w:keepNext w:val="0"/>
              <w:keepLines w:val="0"/>
              <w:suppressLineNumbers w:val="0"/>
              <w:spacing w:before="0" w:beforeAutospacing="0" w:after="0" w:afterAutospacing="0" w:line="420" w:lineRule="exact"/>
              <w:ind w:left="0" w:right="0"/>
              <w:jc w:val="center"/>
              <w:rPr>
                <w:rFonts w:hint="eastAsia" w:ascii="宋体" w:hAnsi="宋体" w:eastAsia="宋体"/>
                <w:b/>
                <w:color w:val="FFFFFF"/>
                <w:sz w:val="21"/>
                <w:szCs w:val="21"/>
                <w:lang w:val="en-US" w:eastAsia="zh-CN"/>
              </w:rPr>
            </w:pPr>
            <w:r>
              <w:rPr>
                <w:rFonts w:hint="eastAsia"/>
                <w:b/>
                <w:color w:val="FFFFFF"/>
                <w:sz w:val="21"/>
                <w:szCs w:val="21"/>
                <w:lang w:val="en-US" w:eastAsia="zh-CN"/>
              </w:rPr>
              <w:t>单位</w:t>
            </w:r>
          </w:p>
        </w:tc>
        <w:tc>
          <w:tcPr>
            <w:tcW w:w="888" w:type="dxa"/>
            <w:shd w:val="clear" w:color="auto" w:fill="00B0F0"/>
            <w:noWrap w:val="0"/>
            <w:vAlign w:val="top"/>
          </w:tcPr>
          <w:p>
            <w:pPr>
              <w:keepNext w:val="0"/>
              <w:keepLines w:val="0"/>
              <w:suppressLineNumbers w:val="0"/>
              <w:spacing w:before="0" w:beforeAutospacing="0" w:after="0" w:afterAutospacing="0" w:line="420" w:lineRule="exact"/>
              <w:ind w:left="0" w:right="0"/>
              <w:jc w:val="center"/>
              <w:rPr>
                <w:rFonts w:hint="eastAsia"/>
                <w:b/>
                <w:color w:val="FFFFFF"/>
                <w:sz w:val="21"/>
                <w:szCs w:val="21"/>
                <w:lang w:val="en-US" w:eastAsia="zh-CN"/>
              </w:rPr>
            </w:pPr>
            <w:r>
              <w:rPr>
                <w:rFonts w:hint="eastAsia"/>
                <w:b/>
                <w:color w:val="FFFFFF"/>
                <w:sz w:val="21"/>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23" w:type="dxa"/>
            <w:gridSpan w:val="2"/>
            <w:vMerge w:val="restart"/>
            <w:noWrap w:val="0"/>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lang w:eastAsia="zh-CN"/>
              </w:rPr>
              <w:t>省一院协同办公自动化OA系统采购项目</w:t>
            </w:r>
          </w:p>
        </w:tc>
        <w:tc>
          <w:tcPr>
            <w:tcW w:w="4688" w:type="dxa"/>
            <w:gridSpan w:val="2"/>
            <w:noWrap w:val="0"/>
            <w:vAlign w:val="top"/>
          </w:tcPr>
          <w:p>
            <w:pPr>
              <w:keepNext w:val="0"/>
              <w:keepLines w:val="0"/>
              <w:suppressLineNumbers w:val="0"/>
              <w:spacing w:before="0" w:beforeAutospacing="0" w:after="0" w:afterAutospacing="0" w:line="34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cs="宋体"/>
                <w:sz w:val="24"/>
                <w:szCs w:val="24"/>
                <w:lang w:val="en-US" w:eastAsia="zh-CN"/>
              </w:rPr>
              <w:t>1</w:t>
            </w:r>
            <w:r>
              <w:rPr>
                <w:rFonts w:hint="eastAsia" w:ascii="宋体" w:hAnsi="宋体" w:eastAsia="宋体" w:cs="宋体"/>
                <w:sz w:val="24"/>
                <w:szCs w:val="24"/>
                <w:lang w:val="en-US" w:eastAsia="zh-CN"/>
              </w:rPr>
              <w:t>套服务器版安装包及2套同版本服务器相同授权使用权（独立部署），主要针对大并发集群服务器布署</w:t>
            </w:r>
          </w:p>
          <w:p>
            <w:pPr>
              <w:keepNext w:val="0"/>
              <w:keepLines w:val="0"/>
              <w:suppressLineNumbers w:val="0"/>
              <w:spacing w:before="0" w:beforeAutospacing="0" w:after="0" w:afterAutospacing="0" w:line="34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rPr>
              <w:t>•功能模块详见需求及详细技术要求附件</w:t>
            </w:r>
          </w:p>
        </w:tc>
        <w:tc>
          <w:tcPr>
            <w:tcW w:w="752"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套</w:t>
            </w:r>
          </w:p>
        </w:tc>
        <w:tc>
          <w:tcPr>
            <w:tcW w:w="888"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cs="宋体"/>
                <w:b/>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323" w:type="dxa"/>
            <w:gridSpan w:val="2"/>
            <w:vMerge w:val="continue"/>
            <w:noWrap w:val="0"/>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sz w:val="24"/>
                <w:szCs w:val="24"/>
                <w:lang w:eastAsia="zh-CN"/>
              </w:rPr>
            </w:pPr>
          </w:p>
        </w:tc>
        <w:tc>
          <w:tcPr>
            <w:tcW w:w="4688" w:type="dxa"/>
            <w:gridSpan w:val="2"/>
            <w:noWrap w:val="0"/>
            <w:vAlign w:val="center"/>
          </w:tcPr>
          <w:p>
            <w:pPr>
              <w:keepNext w:val="0"/>
              <w:keepLines w:val="0"/>
              <w:suppressLineNumbers w:val="0"/>
              <w:spacing w:before="0" w:beforeAutospacing="0" w:after="0" w:afterAutospacing="0" w:line="340" w:lineRule="exac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包括</w:t>
            </w:r>
            <w:r>
              <w:rPr>
                <w:rFonts w:hint="eastAsia" w:ascii="宋体" w:hAnsi="宋体" w:eastAsia="宋体" w:cs="宋体"/>
                <w:sz w:val="24"/>
                <w:szCs w:val="24"/>
                <w:lang w:val="en-US" w:eastAsia="zh-CN"/>
              </w:rPr>
              <w:t>web系统，移动APP（安卓，苹果IOS，鸿蒙NEXT）</w:t>
            </w:r>
          </w:p>
        </w:tc>
        <w:tc>
          <w:tcPr>
            <w:tcW w:w="752"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套</w:t>
            </w:r>
          </w:p>
        </w:tc>
        <w:tc>
          <w:tcPr>
            <w:tcW w:w="888"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cs="宋体"/>
                <w:b/>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3" w:type="dxa"/>
            <w:noWrap w:val="0"/>
            <w:vAlign w:val="center"/>
          </w:tcPr>
          <w:p>
            <w:pPr>
              <w:keepNext w:val="0"/>
              <w:keepLines w:val="0"/>
              <w:numPr>
                <w:ilvl w:val="0"/>
                <w:numId w:val="12"/>
              </w:numPr>
              <w:suppressLineNumbers w:val="0"/>
              <w:spacing w:before="0" w:beforeAutospacing="0" w:after="0" w:afterAutospacing="0" w:line="420" w:lineRule="exact"/>
              <w:ind w:left="675" w:leftChars="0" w:right="0" w:hanging="675" w:firstLineChars="0"/>
              <w:jc w:val="center"/>
              <w:rPr>
                <w:rFonts w:hint="eastAsia" w:ascii="宋体" w:hAnsi="宋体" w:eastAsia="宋体" w:cs="宋体"/>
                <w:sz w:val="24"/>
                <w:szCs w:val="24"/>
                <w:lang w:eastAsia="zh-CN"/>
              </w:rPr>
            </w:pPr>
          </w:p>
        </w:tc>
        <w:tc>
          <w:tcPr>
            <w:tcW w:w="1800" w:type="dxa"/>
            <w:noWrap w:val="0"/>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授权许可数量</w:t>
            </w:r>
          </w:p>
        </w:tc>
        <w:tc>
          <w:tcPr>
            <w:tcW w:w="2505" w:type="dxa"/>
            <w:noWrap w:val="0"/>
            <w:vAlign w:val="center"/>
          </w:tcPr>
          <w:p>
            <w:pPr>
              <w:keepNext w:val="0"/>
              <w:keepLines w:val="0"/>
              <w:suppressLineNumbers w:val="0"/>
              <w:spacing w:before="0" w:beforeAutospacing="0" w:after="0" w:afterAutospacing="0"/>
              <w:ind w:left="0" w:leftChars="0" w:right="0" w:righ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授权许可数量</w:t>
            </w:r>
          </w:p>
        </w:tc>
        <w:tc>
          <w:tcPr>
            <w:tcW w:w="2183" w:type="dxa"/>
            <w:noWrap w:val="0"/>
            <w:vAlign w:val="center"/>
          </w:tcPr>
          <w:p>
            <w:pPr>
              <w:keepNext w:val="0"/>
              <w:keepLines w:val="0"/>
              <w:suppressLineNumbers w:val="0"/>
              <w:spacing w:before="0" w:beforeAutospacing="0" w:after="0" w:afterAutospacing="0"/>
              <w:ind w:left="0" w:leftChars="0" w:right="0" w:rightChars="0"/>
              <w:jc w:val="both"/>
              <w:rPr>
                <w:rFonts w:hint="eastAsia" w:ascii="宋体" w:hAnsi="宋体" w:eastAsia="宋体" w:cs="宋体"/>
                <w:sz w:val="24"/>
                <w:szCs w:val="24"/>
                <w:lang w:val="en-US" w:eastAsia="zh-CN"/>
              </w:rPr>
            </w:pPr>
            <w:r>
              <w:rPr>
                <w:rFonts w:hint="eastAsia" w:cs="宋体"/>
                <w:sz w:val="24"/>
                <w:szCs w:val="24"/>
                <w:lang w:val="en-US" w:eastAsia="zh-CN"/>
              </w:rPr>
              <w:t>不低于8000</w:t>
            </w:r>
            <w:r>
              <w:rPr>
                <w:rFonts w:hint="eastAsia" w:ascii="宋体" w:hAnsi="宋体" w:eastAsia="宋体" w:cs="宋体"/>
                <w:sz w:val="24"/>
                <w:szCs w:val="24"/>
              </w:rPr>
              <w:t>用户数</w:t>
            </w:r>
            <w:r>
              <w:rPr>
                <w:rFonts w:hint="eastAsia" w:ascii="宋体" w:hAnsi="宋体" w:eastAsia="宋体" w:cs="宋体"/>
                <w:sz w:val="24"/>
                <w:szCs w:val="24"/>
                <w:lang w:val="en-US" w:eastAsia="zh-CN"/>
              </w:rPr>
              <w:t>/套</w:t>
            </w:r>
          </w:p>
        </w:tc>
        <w:tc>
          <w:tcPr>
            <w:tcW w:w="752"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许可</w:t>
            </w:r>
          </w:p>
        </w:tc>
        <w:tc>
          <w:tcPr>
            <w:tcW w:w="888"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sz w:val="24"/>
                <w:szCs w:val="24"/>
                <w:lang w:val="en-US" w:eastAsia="zh-CN"/>
              </w:rPr>
            </w:pPr>
            <w:r>
              <w:rPr>
                <w:rFonts w:hint="eastAsia" w:cs="宋体"/>
                <w:b/>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3" w:type="dxa"/>
            <w:noWrap w:val="0"/>
            <w:vAlign w:val="center"/>
          </w:tcPr>
          <w:p>
            <w:pPr>
              <w:keepNext w:val="0"/>
              <w:keepLines w:val="0"/>
              <w:numPr>
                <w:ilvl w:val="0"/>
                <w:numId w:val="12"/>
              </w:numPr>
              <w:suppressLineNumbers w:val="0"/>
              <w:spacing w:before="0" w:beforeAutospacing="0" w:after="0" w:afterAutospacing="0" w:line="420" w:lineRule="exact"/>
              <w:ind w:left="675" w:leftChars="0" w:right="0" w:hanging="675" w:firstLineChars="0"/>
              <w:jc w:val="center"/>
              <w:rPr>
                <w:rFonts w:hint="eastAsia" w:ascii="宋体" w:hAnsi="宋体" w:eastAsia="宋体" w:cs="宋体"/>
                <w:sz w:val="24"/>
                <w:szCs w:val="24"/>
                <w:lang w:eastAsia="zh-CN"/>
              </w:rPr>
            </w:pPr>
          </w:p>
        </w:tc>
        <w:tc>
          <w:tcPr>
            <w:tcW w:w="1800" w:type="dxa"/>
            <w:noWrap w:val="0"/>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零代码</w:t>
            </w:r>
            <w:r>
              <w:rPr>
                <w:rFonts w:hint="eastAsia" w:cs="宋体"/>
                <w:sz w:val="24"/>
                <w:szCs w:val="24"/>
                <w:lang w:eastAsia="zh-CN"/>
              </w:rPr>
              <w:t>系统</w:t>
            </w:r>
          </w:p>
        </w:tc>
        <w:tc>
          <w:tcPr>
            <w:tcW w:w="4688" w:type="dxa"/>
            <w:gridSpan w:val="2"/>
            <w:noWrap w:val="0"/>
            <w:vAlign w:val="center"/>
          </w:tcPr>
          <w:p>
            <w:pPr>
              <w:keepNext w:val="0"/>
              <w:keepLines w:val="0"/>
              <w:suppressLineNumbers w:val="0"/>
              <w:spacing w:before="0" w:beforeAutospacing="0" w:after="0" w:afterAutospacing="0"/>
              <w:ind w:left="0" w:leftChars="0" w:right="0" w:rightChars="0"/>
              <w:jc w:val="both"/>
              <w:rPr>
                <w:rFonts w:hint="eastAsia" w:ascii="宋体" w:hAnsi="宋体" w:eastAsia="宋体" w:cs="宋体"/>
                <w:sz w:val="24"/>
                <w:szCs w:val="24"/>
                <w:lang w:val="en-US" w:eastAsia="zh-CN"/>
              </w:rPr>
            </w:pPr>
            <w:r>
              <w:rPr>
                <w:rFonts w:hint="eastAsia" w:cs="宋体"/>
                <w:sz w:val="24"/>
                <w:szCs w:val="24"/>
                <w:lang w:val="en-US" w:eastAsia="zh-CN"/>
              </w:rPr>
              <w:t>零代码系统，是OA系统最基础的功能模块，通过</w:t>
            </w:r>
            <w:r>
              <w:rPr>
                <w:rFonts w:hint="eastAsia" w:ascii="宋体" w:hAnsi="宋体" w:eastAsia="宋体" w:cs="宋体"/>
                <w:sz w:val="24"/>
                <w:szCs w:val="24"/>
                <w:lang w:val="en-US" w:eastAsia="zh-CN"/>
              </w:rPr>
              <w:t>零代码</w:t>
            </w:r>
            <w:r>
              <w:rPr>
                <w:rFonts w:hint="eastAsia" w:cs="宋体"/>
                <w:sz w:val="24"/>
                <w:szCs w:val="24"/>
                <w:lang w:val="en-US" w:eastAsia="zh-CN"/>
              </w:rPr>
              <w:t>系统“</w:t>
            </w:r>
            <w:r>
              <w:rPr>
                <w:rFonts w:hint="eastAsia" w:ascii="宋体" w:hAnsi="宋体" w:eastAsia="宋体" w:cs="宋体"/>
                <w:sz w:val="24"/>
                <w:szCs w:val="24"/>
                <w:lang w:val="en-US" w:eastAsia="zh-CN"/>
              </w:rPr>
              <w:t>拖拽，设计，配置</w:t>
            </w:r>
            <w:r>
              <w:rPr>
                <w:rFonts w:hint="eastAsia" w:cs="宋体"/>
                <w:sz w:val="24"/>
                <w:szCs w:val="24"/>
                <w:lang w:val="en-US" w:eastAsia="zh-CN"/>
              </w:rPr>
              <w:t>”</w:t>
            </w:r>
            <w:r>
              <w:rPr>
                <w:rFonts w:hint="eastAsia" w:ascii="宋体" w:hAnsi="宋体" w:eastAsia="宋体" w:cs="宋体"/>
                <w:sz w:val="24"/>
                <w:szCs w:val="24"/>
                <w:lang w:val="en-US" w:eastAsia="zh-CN"/>
              </w:rPr>
              <w:t>的方式，</w:t>
            </w:r>
            <w:r>
              <w:rPr>
                <w:rFonts w:hint="eastAsia" w:cs="宋体"/>
                <w:sz w:val="24"/>
                <w:szCs w:val="24"/>
                <w:lang w:val="en-US" w:eastAsia="zh-CN"/>
              </w:rPr>
              <w:t>快速定义出OA系统表单和流程，并且</w:t>
            </w:r>
            <w:r>
              <w:rPr>
                <w:rFonts w:hint="eastAsia" w:ascii="宋体" w:hAnsi="宋体" w:eastAsia="宋体" w:cs="宋体"/>
                <w:sz w:val="24"/>
                <w:szCs w:val="24"/>
                <w:lang w:val="en-US" w:eastAsia="zh-CN"/>
              </w:rPr>
              <w:t>不用写任何一个代码，即可通过直观的拖拽、设计和配置方式，快速开发出功能丰富、界面美观的</w:t>
            </w:r>
            <w:r>
              <w:rPr>
                <w:rFonts w:hint="eastAsia" w:cs="宋体"/>
                <w:sz w:val="24"/>
                <w:szCs w:val="24"/>
                <w:lang w:val="en-US" w:eastAsia="zh-CN"/>
              </w:rPr>
              <w:t>web系统功能模块和</w:t>
            </w:r>
            <w:r>
              <w:rPr>
                <w:rFonts w:hint="eastAsia" w:ascii="宋体" w:hAnsi="宋体" w:eastAsia="宋体" w:cs="宋体"/>
                <w:sz w:val="24"/>
                <w:szCs w:val="24"/>
                <w:lang w:val="en-US" w:eastAsia="zh-CN"/>
              </w:rPr>
              <w:t>APP功能</w:t>
            </w:r>
            <w:r>
              <w:rPr>
                <w:rFonts w:hint="eastAsia" w:cs="宋体"/>
                <w:sz w:val="24"/>
                <w:szCs w:val="24"/>
                <w:lang w:val="en-US" w:eastAsia="zh-CN"/>
              </w:rPr>
              <w:t>模块</w:t>
            </w:r>
            <w:r>
              <w:rPr>
                <w:rFonts w:hint="eastAsia" w:ascii="宋体" w:hAnsi="宋体" w:eastAsia="宋体" w:cs="宋体"/>
                <w:sz w:val="24"/>
                <w:szCs w:val="24"/>
                <w:lang w:val="en-US" w:eastAsia="zh-CN"/>
              </w:rPr>
              <w:t>。</w:t>
            </w:r>
          </w:p>
        </w:tc>
        <w:tc>
          <w:tcPr>
            <w:tcW w:w="752" w:type="dxa"/>
            <w:noWrap w:val="0"/>
            <w:vAlign w:val="center"/>
          </w:tcPr>
          <w:p>
            <w:pPr>
              <w:keepNext w:val="0"/>
              <w:keepLines w:val="0"/>
              <w:suppressLineNumbers w:val="0"/>
              <w:spacing w:before="0" w:beforeAutospacing="0" w:after="0" w:afterAutospacing="0" w:line="420" w:lineRule="exact"/>
              <w:ind w:left="0" w:leftChars="0" w:right="0" w:rightChars="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套</w:t>
            </w:r>
          </w:p>
        </w:tc>
        <w:tc>
          <w:tcPr>
            <w:tcW w:w="888" w:type="dxa"/>
            <w:noWrap w:val="0"/>
            <w:vAlign w:val="center"/>
          </w:tcPr>
          <w:p>
            <w:pPr>
              <w:keepNext w:val="0"/>
              <w:keepLines w:val="0"/>
              <w:suppressLineNumbers w:val="0"/>
              <w:spacing w:before="0" w:beforeAutospacing="0" w:after="0" w:afterAutospacing="0" w:line="420" w:lineRule="exact"/>
              <w:ind w:left="0" w:leftChars="0" w:right="0" w:rightChars="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3" w:type="dxa"/>
            <w:noWrap w:val="0"/>
            <w:vAlign w:val="center"/>
          </w:tcPr>
          <w:p>
            <w:pPr>
              <w:keepNext w:val="0"/>
              <w:keepLines w:val="0"/>
              <w:numPr>
                <w:ilvl w:val="0"/>
                <w:numId w:val="12"/>
              </w:numPr>
              <w:suppressLineNumbers w:val="0"/>
              <w:spacing w:before="0" w:beforeAutospacing="0" w:after="0" w:afterAutospacing="0" w:line="420" w:lineRule="exact"/>
              <w:ind w:left="675" w:leftChars="0" w:right="0" w:hanging="675" w:firstLineChars="0"/>
              <w:jc w:val="center"/>
              <w:rPr>
                <w:rFonts w:hint="eastAsia" w:ascii="宋体" w:hAnsi="宋体" w:eastAsia="宋体" w:cs="宋体"/>
                <w:sz w:val="24"/>
                <w:szCs w:val="24"/>
                <w:lang w:eastAsia="zh-CN"/>
              </w:rPr>
            </w:pPr>
          </w:p>
        </w:tc>
        <w:tc>
          <w:tcPr>
            <w:tcW w:w="1800" w:type="dxa"/>
            <w:noWrap w:val="0"/>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门户系统</w:t>
            </w:r>
          </w:p>
        </w:tc>
        <w:tc>
          <w:tcPr>
            <w:tcW w:w="4688" w:type="dxa"/>
            <w:gridSpan w:val="2"/>
            <w:noWrap w:val="0"/>
            <w:vAlign w:val="center"/>
          </w:tcPr>
          <w:p>
            <w:pPr>
              <w:keepNext w:val="0"/>
              <w:keepLines w:val="0"/>
              <w:suppressLineNumbers w:val="0"/>
              <w:spacing w:before="0" w:beforeAutospacing="0" w:after="0" w:afterAutospacing="0"/>
              <w:ind w:left="0" w:leftChars="0" w:right="0" w:righ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支撑单位统一的信息化入口，包括PC门户和移动门户，用户通过一个入口访问单位各个应用系统，同时PC门户和移动门户，都需要支持通过可视化拖拽零代码的方式完成门户首页的开发要求。</w:t>
            </w:r>
          </w:p>
        </w:tc>
        <w:tc>
          <w:tcPr>
            <w:tcW w:w="752" w:type="dxa"/>
            <w:noWrap w:val="0"/>
            <w:vAlign w:val="center"/>
          </w:tcPr>
          <w:p>
            <w:pPr>
              <w:keepNext w:val="0"/>
              <w:keepLines w:val="0"/>
              <w:suppressLineNumbers w:val="0"/>
              <w:spacing w:before="0" w:beforeAutospacing="0" w:after="0" w:afterAutospacing="0" w:line="420" w:lineRule="exact"/>
              <w:ind w:left="0" w:leftChars="0" w:right="0" w:rightChars="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套</w:t>
            </w:r>
          </w:p>
        </w:tc>
        <w:tc>
          <w:tcPr>
            <w:tcW w:w="888" w:type="dxa"/>
            <w:noWrap w:val="0"/>
            <w:vAlign w:val="center"/>
          </w:tcPr>
          <w:p>
            <w:pPr>
              <w:keepNext w:val="0"/>
              <w:keepLines w:val="0"/>
              <w:suppressLineNumbers w:val="0"/>
              <w:spacing w:before="0" w:beforeAutospacing="0" w:after="0" w:afterAutospacing="0" w:line="420" w:lineRule="exact"/>
              <w:ind w:left="0" w:leftChars="0" w:right="0" w:rightChars="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3" w:type="dxa"/>
            <w:noWrap w:val="0"/>
            <w:vAlign w:val="center"/>
          </w:tcPr>
          <w:p>
            <w:pPr>
              <w:keepNext w:val="0"/>
              <w:keepLines w:val="0"/>
              <w:numPr>
                <w:ilvl w:val="0"/>
                <w:numId w:val="12"/>
              </w:numPr>
              <w:suppressLineNumbers w:val="0"/>
              <w:spacing w:before="0" w:beforeAutospacing="0" w:after="0" w:afterAutospacing="0" w:line="420" w:lineRule="exact"/>
              <w:ind w:left="675" w:leftChars="0" w:right="0" w:hanging="675" w:firstLineChars="0"/>
              <w:jc w:val="center"/>
              <w:rPr>
                <w:rFonts w:hint="eastAsia" w:ascii="宋体" w:hAnsi="宋体" w:eastAsia="宋体" w:cs="宋体"/>
                <w:sz w:val="24"/>
                <w:szCs w:val="24"/>
                <w:lang w:eastAsia="zh-CN"/>
              </w:rPr>
            </w:pPr>
          </w:p>
        </w:tc>
        <w:tc>
          <w:tcPr>
            <w:tcW w:w="1800" w:type="dxa"/>
            <w:noWrap w:val="0"/>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公文管理</w:t>
            </w:r>
          </w:p>
        </w:tc>
        <w:tc>
          <w:tcPr>
            <w:tcW w:w="4688" w:type="dxa"/>
            <w:gridSpan w:val="2"/>
            <w:noWrap w:val="0"/>
            <w:vAlign w:val="center"/>
          </w:tcPr>
          <w:p>
            <w:pPr>
              <w:keepNext w:val="0"/>
              <w:keepLines w:val="0"/>
              <w:suppressLineNumbers w:val="0"/>
              <w:spacing w:before="0" w:beforeAutospacing="0" w:after="0" w:afterAutospacing="0"/>
              <w:ind w:left="0" w:leftChars="0" w:right="0" w:righ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需具备全流程公文管理能力，覆盖收文、发文、签报、交换、督办、统计、归档等核心环节，支持主流标准公文格式，通过 WPS/Web Office 双模式自动生成正文，按流转环节精细化管控正文修改权限及公章状态，支持自定义编辑下载策略，公文流转完成后自动归档并支持多条件快速检索，同时具备跨部门 / 跨单位公文交换、督办跟踪（含超时提醒）及多维度统计报表生成能力。</w:t>
            </w:r>
          </w:p>
        </w:tc>
        <w:tc>
          <w:tcPr>
            <w:tcW w:w="752" w:type="dxa"/>
            <w:noWrap w:val="0"/>
            <w:vAlign w:val="center"/>
          </w:tcPr>
          <w:p>
            <w:pPr>
              <w:keepNext w:val="0"/>
              <w:keepLines w:val="0"/>
              <w:suppressLineNumbers w:val="0"/>
              <w:spacing w:before="0" w:beforeAutospacing="0" w:after="0" w:afterAutospacing="0" w:line="420" w:lineRule="exact"/>
              <w:ind w:left="0" w:leftChars="0" w:right="0" w:rightChars="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套</w:t>
            </w:r>
          </w:p>
        </w:tc>
        <w:tc>
          <w:tcPr>
            <w:tcW w:w="888" w:type="dxa"/>
            <w:noWrap w:val="0"/>
            <w:vAlign w:val="center"/>
          </w:tcPr>
          <w:p>
            <w:pPr>
              <w:keepNext w:val="0"/>
              <w:keepLines w:val="0"/>
              <w:suppressLineNumbers w:val="0"/>
              <w:spacing w:before="0" w:beforeAutospacing="0" w:after="0" w:afterAutospacing="0" w:line="420" w:lineRule="exact"/>
              <w:ind w:left="0" w:leftChars="0" w:right="0" w:rightChars="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3" w:type="dxa"/>
            <w:noWrap w:val="0"/>
            <w:vAlign w:val="center"/>
          </w:tcPr>
          <w:p>
            <w:pPr>
              <w:keepNext w:val="0"/>
              <w:keepLines w:val="0"/>
              <w:numPr>
                <w:ilvl w:val="0"/>
                <w:numId w:val="12"/>
              </w:numPr>
              <w:suppressLineNumbers w:val="0"/>
              <w:spacing w:before="0" w:beforeAutospacing="0" w:after="0" w:afterAutospacing="0" w:line="420" w:lineRule="exact"/>
              <w:ind w:left="675" w:leftChars="0" w:right="0" w:hanging="675" w:firstLineChars="0"/>
              <w:jc w:val="center"/>
              <w:rPr>
                <w:rFonts w:hint="eastAsia" w:ascii="宋体" w:hAnsi="宋体" w:eastAsia="宋体" w:cs="宋体"/>
                <w:sz w:val="24"/>
                <w:szCs w:val="24"/>
                <w:lang w:eastAsia="zh-CN"/>
              </w:rPr>
            </w:pPr>
          </w:p>
        </w:tc>
        <w:tc>
          <w:tcPr>
            <w:tcW w:w="1800" w:type="dxa"/>
            <w:noWrap w:val="0"/>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个人办公平台</w:t>
            </w:r>
          </w:p>
        </w:tc>
        <w:tc>
          <w:tcPr>
            <w:tcW w:w="4688" w:type="dxa"/>
            <w:gridSpan w:val="2"/>
            <w:noWrap w:val="0"/>
            <w:vAlign w:val="center"/>
          </w:tcPr>
          <w:p>
            <w:pPr>
              <w:keepNext w:val="0"/>
              <w:keepLines w:val="0"/>
              <w:numPr>
                <w:ilvl w:val="0"/>
                <w:numId w:val="13"/>
              </w:numPr>
              <w:suppressLineNumbers w:val="0"/>
              <w:spacing w:before="0" w:beforeAutospacing="0" w:after="0" w:afterAutospacing="0"/>
              <w:ind w:left="433" w:leftChars="0" w:right="0" w:hanging="263" w:firstLineChars="0"/>
              <w:jc w:val="both"/>
              <w:rPr>
                <w:rFonts w:hint="eastAsia" w:ascii="宋体" w:hAnsi="宋体" w:eastAsia="宋体" w:cs="宋体"/>
                <w:sz w:val="24"/>
                <w:szCs w:val="24"/>
                <w:lang w:eastAsia="zh-CN"/>
              </w:rPr>
            </w:pPr>
            <w:r>
              <w:rPr>
                <w:rFonts w:hint="eastAsia" w:ascii="宋体" w:hAnsi="宋体" w:eastAsia="宋体" w:cs="宋体"/>
                <w:sz w:val="24"/>
                <w:szCs w:val="24"/>
                <w:vertAlign w:val="baseline"/>
                <w:lang w:val="en-US" w:eastAsia="zh-CN"/>
              </w:rPr>
              <w:t>个人办公平台：“协同OA系统”核心功能模块，汇集了使用人所有的待办文件，方便一站式办理、处理、审核、审批等操作。</w:t>
            </w:r>
          </w:p>
        </w:tc>
        <w:tc>
          <w:tcPr>
            <w:tcW w:w="752"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套</w:t>
            </w:r>
          </w:p>
        </w:tc>
        <w:tc>
          <w:tcPr>
            <w:tcW w:w="888"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3" w:type="dxa"/>
            <w:noWrap w:val="0"/>
            <w:vAlign w:val="center"/>
          </w:tcPr>
          <w:p>
            <w:pPr>
              <w:keepNext w:val="0"/>
              <w:keepLines w:val="0"/>
              <w:numPr>
                <w:ilvl w:val="0"/>
                <w:numId w:val="12"/>
              </w:numPr>
              <w:suppressLineNumbers w:val="0"/>
              <w:spacing w:before="0" w:beforeAutospacing="0" w:after="0" w:afterAutospacing="0" w:line="420" w:lineRule="exact"/>
              <w:ind w:left="675" w:leftChars="0" w:right="0" w:hanging="675" w:firstLineChars="0"/>
              <w:jc w:val="center"/>
              <w:rPr>
                <w:rFonts w:hint="eastAsia" w:ascii="宋体" w:hAnsi="宋体" w:eastAsia="宋体" w:cs="宋体"/>
                <w:sz w:val="24"/>
                <w:szCs w:val="24"/>
                <w:lang w:eastAsia="zh-CN"/>
              </w:rPr>
            </w:pPr>
          </w:p>
        </w:tc>
        <w:tc>
          <w:tcPr>
            <w:tcW w:w="1800" w:type="dxa"/>
            <w:noWrap w:val="0"/>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sz w:val="24"/>
                <w:szCs w:val="24"/>
                <w:lang w:eastAsia="zh-CN"/>
              </w:rPr>
            </w:pPr>
            <w:r>
              <w:rPr>
                <w:rFonts w:hint="eastAsia" w:ascii="宋体" w:hAnsi="宋体" w:eastAsia="宋体" w:cs="宋体"/>
                <w:sz w:val="24"/>
                <w:szCs w:val="24"/>
                <w:lang w:eastAsia="zh-CN"/>
              </w:rPr>
              <w:t>文件在线预览和在线编辑系统（服务器版）</w:t>
            </w:r>
          </w:p>
        </w:tc>
        <w:tc>
          <w:tcPr>
            <w:tcW w:w="4688" w:type="dxa"/>
            <w:gridSpan w:val="2"/>
            <w:noWrap w:val="0"/>
            <w:vAlign w:val="center"/>
          </w:tcPr>
          <w:p>
            <w:pPr>
              <w:keepNext w:val="0"/>
              <w:keepLines w:val="0"/>
              <w:numPr>
                <w:ilvl w:val="0"/>
                <w:numId w:val="14"/>
              </w:numPr>
              <w:suppressLineNumbers w:val="0"/>
              <w:spacing w:before="0" w:beforeAutospacing="0" w:after="0" w:afterAutospacing="0"/>
              <w:ind w:left="433" w:leftChars="0" w:right="0" w:hanging="263" w:firstLine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PC电脑端和手机免安装任何客户端或插件,支持信创环境和x86环境。</w:t>
            </w:r>
          </w:p>
          <w:p>
            <w:pPr>
              <w:keepNext w:val="0"/>
              <w:keepLines w:val="0"/>
              <w:numPr>
                <w:ilvl w:val="0"/>
                <w:numId w:val="14"/>
              </w:numPr>
              <w:suppressLineNumbers w:val="0"/>
              <w:spacing w:before="0" w:beforeAutospacing="0" w:after="0" w:afterAutospacing="0"/>
              <w:ind w:left="433" w:leftChars="0" w:right="0" w:hanging="263" w:firstLine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文件在线预览系统（服务器版）：支持包括常见的文件格式，包括且不仅限于图片(jpg，jpeg，png，gif)、文档（doc/docx、xls/xlsx、ppt/pptx、txt、pdf等）、等文件格式在线预览和在线编辑。支持压缩包（zip,tar,gzip等）在线解压，在线预览和在线编辑。支持音频（Wave、MPEG、MP3）、视频（Mp4、MPEG-4、avi、flv）等流媒体格式文件在线播放。</w:t>
            </w:r>
          </w:p>
        </w:tc>
        <w:tc>
          <w:tcPr>
            <w:tcW w:w="752"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套</w:t>
            </w:r>
          </w:p>
        </w:tc>
        <w:tc>
          <w:tcPr>
            <w:tcW w:w="888"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3" w:type="dxa"/>
            <w:noWrap w:val="0"/>
            <w:vAlign w:val="center"/>
          </w:tcPr>
          <w:p>
            <w:pPr>
              <w:keepNext w:val="0"/>
              <w:keepLines w:val="0"/>
              <w:numPr>
                <w:ilvl w:val="0"/>
                <w:numId w:val="12"/>
              </w:numPr>
              <w:suppressLineNumbers w:val="0"/>
              <w:spacing w:before="0" w:beforeAutospacing="0" w:after="0" w:afterAutospacing="0" w:line="420" w:lineRule="exact"/>
              <w:ind w:left="675" w:leftChars="0" w:right="0" w:hanging="675" w:firstLineChars="0"/>
              <w:jc w:val="center"/>
              <w:rPr>
                <w:rFonts w:hint="eastAsia" w:ascii="宋体" w:hAnsi="宋体" w:eastAsia="宋体" w:cs="宋体"/>
                <w:sz w:val="24"/>
                <w:szCs w:val="24"/>
                <w:lang w:eastAsia="zh-CN"/>
              </w:rPr>
            </w:pPr>
          </w:p>
        </w:tc>
        <w:tc>
          <w:tcPr>
            <w:tcW w:w="1800" w:type="dxa"/>
            <w:noWrap w:val="0"/>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sz w:val="24"/>
                <w:szCs w:val="24"/>
                <w:lang w:eastAsia="zh-CN"/>
              </w:rPr>
            </w:pPr>
            <w:r>
              <w:rPr>
                <w:rFonts w:hint="eastAsia" w:ascii="宋体" w:hAnsi="宋体" w:eastAsia="宋体" w:cs="宋体"/>
                <w:sz w:val="24"/>
                <w:szCs w:val="24"/>
                <w:lang w:eastAsia="zh-CN"/>
              </w:rPr>
              <w:t>OFD在线预览系统（服务器版）</w:t>
            </w:r>
          </w:p>
        </w:tc>
        <w:tc>
          <w:tcPr>
            <w:tcW w:w="4688" w:type="dxa"/>
            <w:gridSpan w:val="2"/>
            <w:noWrap w:val="0"/>
            <w:vAlign w:val="center"/>
          </w:tcPr>
          <w:p>
            <w:pPr>
              <w:keepNext w:val="0"/>
              <w:keepLines w:val="0"/>
              <w:numPr>
                <w:ilvl w:val="0"/>
                <w:numId w:val="0"/>
              </w:numPr>
              <w:suppressLineNumbers w:val="0"/>
              <w:spacing w:before="0" w:beforeAutospacing="0" w:after="0" w:afterAutospacing="0"/>
              <w:ind w:left="170" w:leftChars="0" w:right="0" w:righ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支持“OFD文件格式在线预览”，该“OFD在线预览系统”应，同时支持“非信创环境和信创环境”。</w:t>
            </w:r>
          </w:p>
        </w:tc>
        <w:tc>
          <w:tcPr>
            <w:tcW w:w="752"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套</w:t>
            </w:r>
          </w:p>
        </w:tc>
        <w:tc>
          <w:tcPr>
            <w:tcW w:w="888"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3" w:type="dxa"/>
            <w:noWrap w:val="0"/>
            <w:vAlign w:val="center"/>
          </w:tcPr>
          <w:p>
            <w:pPr>
              <w:keepNext w:val="0"/>
              <w:keepLines w:val="0"/>
              <w:numPr>
                <w:ilvl w:val="0"/>
                <w:numId w:val="12"/>
              </w:numPr>
              <w:suppressLineNumbers w:val="0"/>
              <w:spacing w:before="0" w:beforeAutospacing="0" w:after="0" w:afterAutospacing="0" w:line="420" w:lineRule="exact"/>
              <w:ind w:left="675" w:leftChars="0" w:right="0" w:hanging="675" w:firstLineChars="0"/>
              <w:jc w:val="center"/>
              <w:rPr>
                <w:rFonts w:hint="eastAsia" w:ascii="宋体" w:hAnsi="宋体" w:eastAsia="宋体" w:cs="宋体"/>
                <w:sz w:val="24"/>
                <w:szCs w:val="24"/>
                <w:lang w:eastAsia="zh-CN"/>
              </w:rPr>
            </w:pPr>
          </w:p>
        </w:tc>
        <w:tc>
          <w:tcPr>
            <w:tcW w:w="1800" w:type="dxa"/>
            <w:noWrap w:val="0"/>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lang w:eastAsia="zh-CN"/>
              </w:rPr>
              <w:t>金山</w:t>
            </w:r>
            <w:r>
              <w:rPr>
                <w:rFonts w:hint="eastAsia" w:ascii="宋体" w:hAnsi="宋体" w:eastAsia="宋体" w:cs="宋体"/>
                <w:sz w:val="24"/>
                <w:szCs w:val="24"/>
                <w:lang w:val="en-US" w:eastAsia="zh-CN"/>
              </w:rPr>
              <w:t>WPS助手</w:t>
            </w:r>
          </w:p>
        </w:tc>
        <w:tc>
          <w:tcPr>
            <w:tcW w:w="4688" w:type="dxa"/>
            <w:gridSpan w:val="2"/>
            <w:noWrap w:val="0"/>
            <w:vAlign w:val="center"/>
          </w:tcPr>
          <w:p>
            <w:pPr>
              <w:keepNext w:val="0"/>
              <w:keepLines w:val="0"/>
              <w:numPr>
                <w:ilvl w:val="0"/>
                <w:numId w:val="0"/>
              </w:numPr>
              <w:suppressLineNumbers w:val="0"/>
              <w:spacing w:before="0" w:beforeAutospacing="0" w:after="0" w:afterAutospacing="0"/>
              <w:ind w:left="170" w:leftChars="0" w:right="0" w:right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金山WPS助手，要求基于PC端金山WPS软件开发的专属插件产品，核心服务于企业OA系统PC端的文档协同场景。作为OA系统与金山WPS软件的桥梁型工具，其旨在打通浏览器端操作与本地软件编辑的衔接壁垒，为用户提供高效、安全的Office文档在线处理解决方案。需特别说明：</w:t>
            </w:r>
            <w:r>
              <w:rPr>
                <w:rFonts w:hint="eastAsia" w:cs="宋体"/>
                <w:sz w:val="24"/>
                <w:szCs w:val="24"/>
                <w:lang w:val="en-US" w:eastAsia="zh-CN"/>
              </w:rPr>
              <w:t>可以内嵌WPS插件也可以适配相应WPS365版本。</w:t>
            </w:r>
          </w:p>
        </w:tc>
        <w:tc>
          <w:tcPr>
            <w:tcW w:w="752"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套</w:t>
            </w:r>
          </w:p>
        </w:tc>
        <w:tc>
          <w:tcPr>
            <w:tcW w:w="888"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523" w:type="dxa"/>
            <w:noWrap w:val="0"/>
            <w:vAlign w:val="center"/>
          </w:tcPr>
          <w:p>
            <w:pPr>
              <w:keepNext w:val="0"/>
              <w:keepLines w:val="0"/>
              <w:numPr>
                <w:ilvl w:val="0"/>
                <w:numId w:val="12"/>
              </w:numPr>
              <w:suppressLineNumbers w:val="0"/>
              <w:spacing w:before="0" w:beforeAutospacing="0" w:after="0" w:afterAutospacing="0" w:line="420" w:lineRule="exact"/>
              <w:ind w:left="675" w:leftChars="0" w:right="0" w:hanging="675" w:firstLineChars="0"/>
              <w:jc w:val="center"/>
              <w:rPr>
                <w:rFonts w:hint="eastAsia" w:ascii="宋体" w:hAnsi="宋体" w:eastAsia="宋体" w:cs="宋体"/>
                <w:sz w:val="24"/>
                <w:szCs w:val="24"/>
                <w:lang w:eastAsia="zh-CN"/>
              </w:rPr>
            </w:pPr>
          </w:p>
        </w:tc>
        <w:tc>
          <w:tcPr>
            <w:tcW w:w="1800" w:type="dxa"/>
            <w:noWrap w:val="0"/>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CMS</w:t>
            </w:r>
            <w:r>
              <w:rPr>
                <w:rFonts w:hint="eastAsia" w:ascii="宋体" w:hAnsi="宋体" w:eastAsia="宋体" w:cs="宋体"/>
                <w:sz w:val="24"/>
                <w:szCs w:val="24"/>
              </w:rPr>
              <w:t>信息内容发布平台</w:t>
            </w:r>
          </w:p>
        </w:tc>
        <w:tc>
          <w:tcPr>
            <w:tcW w:w="4688" w:type="dxa"/>
            <w:gridSpan w:val="2"/>
            <w:noWrap w:val="0"/>
            <w:vAlign w:val="center"/>
          </w:tcPr>
          <w:p>
            <w:pPr>
              <w:keepNext w:val="0"/>
              <w:keepLines w:val="0"/>
              <w:numPr>
                <w:ilvl w:val="0"/>
                <w:numId w:val="0"/>
              </w:numPr>
              <w:suppressLineNumbers w:val="0"/>
              <w:spacing w:before="0" w:beforeAutospacing="0" w:after="0" w:afterAutospacing="0"/>
              <w:ind w:left="170" w:leftChars="0" w:right="0" w:rightChars="0"/>
              <w:jc w:val="both"/>
              <w:rPr>
                <w:rFonts w:hint="eastAsia" w:ascii="宋体" w:hAnsi="宋体" w:eastAsia="宋体" w:cs="宋体"/>
                <w:sz w:val="24"/>
                <w:szCs w:val="24"/>
                <w:vertAlign w:val="baseline"/>
                <w:lang w:val="en-US" w:eastAsia="zh-CN"/>
              </w:rPr>
            </w:pPr>
            <w:r>
              <w:rPr>
                <w:rFonts w:hint="eastAsia" w:ascii="宋体" w:hAnsi="宋体" w:eastAsia="宋体" w:cs="宋体"/>
                <w:color w:val="auto"/>
                <w:sz w:val="24"/>
                <w:szCs w:val="24"/>
                <w:lang w:eastAsia="zh-CN"/>
              </w:rPr>
              <w:t>实现多类型信息标准化流转；需集成工作流与电子签章技术，构建“起草-审核-审批-签章-发布”闭环管控机制，保障信息发布合规、安全、高效</w:t>
            </w:r>
            <w:r>
              <w:rPr>
                <w:rFonts w:hint="eastAsia" w:ascii="宋体" w:hAnsi="宋体" w:eastAsia="宋体" w:cs="宋体"/>
                <w:sz w:val="24"/>
                <w:szCs w:val="24"/>
                <w:vertAlign w:val="baseline"/>
                <w:lang w:val="en-US" w:eastAsia="zh-CN"/>
              </w:rPr>
              <w:t>。</w:t>
            </w:r>
          </w:p>
        </w:tc>
        <w:tc>
          <w:tcPr>
            <w:tcW w:w="752"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套</w:t>
            </w:r>
          </w:p>
        </w:tc>
        <w:tc>
          <w:tcPr>
            <w:tcW w:w="888"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3" w:type="dxa"/>
            <w:noWrap w:val="0"/>
            <w:vAlign w:val="center"/>
          </w:tcPr>
          <w:p>
            <w:pPr>
              <w:keepNext w:val="0"/>
              <w:keepLines w:val="0"/>
              <w:numPr>
                <w:ilvl w:val="0"/>
                <w:numId w:val="12"/>
              </w:numPr>
              <w:suppressLineNumbers w:val="0"/>
              <w:spacing w:before="0" w:beforeAutospacing="0" w:after="0" w:afterAutospacing="0" w:line="420" w:lineRule="exact"/>
              <w:ind w:left="675" w:leftChars="0" w:right="0" w:hanging="675" w:firstLineChars="0"/>
              <w:jc w:val="center"/>
              <w:rPr>
                <w:rFonts w:hint="eastAsia" w:ascii="宋体" w:hAnsi="宋体" w:eastAsia="宋体" w:cs="宋体"/>
                <w:sz w:val="24"/>
                <w:szCs w:val="24"/>
                <w:lang w:eastAsia="zh-CN"/>
              </w:rPr>
            </w:pPr>
          </w:p>
        </w:tc>
        <w:tc>
          <w:tcPr>
            <w:tcW w:w="1800" w:type="dxa"/>
            <w:noWrap w:val="0"/>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全文搜索</w:t>
            </w:r>
          </w:p>
        </w:tc>
        <w:tc>
          <w:tcPr>
            <w:tcW w:w="4688" w:type="dxa"/>
            <w:gridSpan w:val="2"/>
            <w:noWrap w:val="0"/>
            <w:vAlign w:val="center"/>
          </w:tcPr>
          <w:p>
            <w:pPr>
              <w:keepNext w:val="0"/>
              <w:keepLines w:val="0"/>
              <w:suppressLineNumbers w:val="0"/>
              <w:spacing w:before="0" w:beforeAutospacing="0" w:after="0" w:afterAutospacing="0"/>
              <w:ind w:left="0" w:leftChars="0" w:right="0" w:righ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模块要求为项目核心检索组件，需具备支持中文分词、模糊检索、精确匹配，高效、全面的全文检索能力，实现对前台门户及后台核心业务系统全场景内容的精准检索，支持包括正文、附件搜索，流程、信息内容、邮件内容等的全文搜索。</w:t>
            </w:r>
          </w:p>
        </w:tc>
        <w:tc>
          <w:tcPr>
            <w:tcW w:w="752" w:type="dxa"/>
            <w:noWrap w:val="0"/>
            <w:vAlign w:val="center"/>
          </w:tcPr>
          <w:p>
            <w:pPr>
              <w:keepNext w:val="0"/>
              <w:keepLines w:val="0"/>
              <w:suppressLineNumbers w:val="0"/>
              <w:spacing w:before="0" w:beforeAutospacing="0" w:after="0" w:afterAutospacing="0" w:line="420" w:lineRule="exact"/>
              <w:ind w:left="0" w:leftChars="0" w:right="0" w:rightChars="0"/>
              <w:jc w:val="center"/>
              <w:rPr>
                <w:rFonts w:hint="eastAsia" w:ascii="宋体" w:hAnsi="宋体" w:eastAsia="宋体" w:cs="宋体"/>
                <w:b/>
                <w:sz w:val="24"/>
                <w:szCs w:val="24"/>
                <w:lang w:val="en-US" w:eastAsia="zh-CN"/>
              </w:rPr>
            </w:pPr>
            <w:r>
              <w:rPr>
                <w:rFonts w:hint="eastAsia" w:ascii="宋体" w:hAnsi="宋体" w:eastAsia="宋体" w:cs="宋体"/>
                <w:b/>
                <w:bCs/>
                <w:sz w:val="24"/>
                <w:szCs w:val="24"/>
                <w:lang w:val="en-US" w:eastAsia="zh-CN"/>
              </w:rPr>
              <w:t>套</w:t>
            </w:r>
          </w:p>
        </w:tc>
        <w:tc>
          <w:tcPr>
            <w:tcW w:w="888" w:type="dxa"/>
            <w:noWrap w:val="0"/>
            <w:vAlign w:val="center"/>
          </w:tcPr>
          <w:p>
            <w:pPr>
              <w:keepNext w:val="0"/>
              <w:keepLines w:val="0"/>
              <w:suppressLineNumbers w:val="0"/>
              <w:spacing w:before="0" w:beforeAutospacing="0" w:after="0" w:afterAutospacing="0" w:line="420" w:lineRule="exact"/>
              <w:ind w:left="0" w:leftChars="0" w:right="0" w:rightChars="0"/>
              <w:jc w:val="center"/>
              <w:rPr>
                <w:rFonts w:hint="eastAsia" w:ascii="宋体" w:hAnsi="宋体" w:eastAsia="宋体" w:cs="宋体"/>
                <w:b/>
                <w:sz w:val="24"/>
                <w:szCs w:val="24"/>
                <w:lang w:val="en-US" w:eastAsia="zh-CN"/>
              </w:rPr>
            </w:pPr>
            <w:r>
              <w:rPr>
                <w:rFonts w:hint="eastAsia" w:ascii="宋体" w:hAnsi="宋体" w:eastAsia="宋体" w:cs="宋体"/>
                <w:b/>
                <w:bCs/>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3" w:type="dxa"/>
            <w:noWrap w:val="0"/>
            <w:vAlign w:val="center"/>
          </w:tcPr>
          <w:p>
            <w:pPr>
              <w:keepNext w:val="0"/>
              <w:keepLines w:val="0"/>
              <w:numPr>
                <w:ilvl w:val="0"/>
                <w:numId w:val="12"/>
              </w:numPr>
              <w:suppressLineNumbers w:val="0"/>
              <w:spacing w:before="0" w:beforeAutospacing="0" w:after="0" w:afterAutospacing="0" w:line="420" w:lineRule="exact"/>
              <w:ind w:left="675" w:leftChars="0" w:right="0" w:hanging="675" w:firstLineChars="0"/>
              <w:jc w:val="center"/>
              <w:rPr>
                <w:rFonts w:hint="eastAsia" w:ascii="宋体" w:hAnsi="宋体" w:eastAsia="宋体" w:cs="宋体"/>
                <w:sz w:val="24"/>
                <w:szCs w:val="24"/>
                <w:lang w:eastAsia="zh-CN"/>
              </w:rPr>
            </w:pPr>
          </w:p>
        </w:tc>
        <w:tc>
          <w:tcPr>
            <w:tcW w:w="1800" w:type="dxa"/>
            <w:noWrap w:val="0"/>
            <w:vAlign w:val="center"/>
          </w:tcPr>
          <w:p>
            <w:pPr>
              <w:keepNext w:val="0"/>
              <w:keepLines w:val="0"/>
              <w:suppressLineNumbers w:val="0"/>
              <w:spacing w:before="0" w:beforeAutospacing="0" w:after="0" w:afterAutospacing="0" w:line="420" w:lineRule="exact"/>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即时通讯IM</w:t>
            </w:r>
          </w:p>
          <w:p>
            <w:pPr>
              <w:keepNext w:val="0"/>
              <w:keepLines w:val="0"/>
              <w:suppressLineNumbers w:val="0"/>
              <w:spacing w:before="0" w:beforeAutospacing="0" w:after="0" w:afterAutospacing="0" w:line="420" w:lineRule="exact"/>
              <w:ind w:left="0" w:right="0"/>
              <w:jc w:val="left"/>
              <w:rPr>
                <w:rFonts w:hint="eastAsia" w:ascii="宋体" w:hAnsi="宋体" w:eastAsia="宋体" w:cs="宋体"/>
                <w:sz w:val="24"/>
                <w:szCs w:val="24"/>
                <w:lang w:val="en-US" w:eastAsia="zh-CN"/>
              </w:rPr>
            </w:pPr>
            <w:r>
              <w:rPr>
                <w:rFonts w:hint="eastAsia" w:ascii="宋体" w:hAnsi="宋体" w:eastAsia="宋体" w:cs="宋体"/>
                <w:color w:val="auto"/>
                <w:sz w:val="24"/>
                <w:szCs w:val="24"/>
                <w:lang w:eastAsia="zh-CN"/>
              </w:rPr>
              <w:t>（私有化部署）</w:t>
            </w:r>
          </w:p>
        </w:tc>
        <w:tc>
          <w:tcPr>
            <w:tcW w:w="4688" w:type="dxa"/>
            <w:gridSpan w:val="2"/>
            <w:noWrap w:val="0"/>
            <w:vAlign w:val="center"/>
          </w:tcPr>
          <w:p>
            <w:pPr>
              <w:keepNext w:val="0"/>
              <w:keepLines w:val="0"/>
              <w:numPr>
                <w:ilvl w:val="0"/>
                <w:numId w:val="0"/>
              </w:numPr>
              <w:suppressLineNumbers w:val="0"/>
              <w:spacing w:before="0" w:beforeAutospacing="0" w:after="0" w:afterAutospacing="0"/>
              <w:ind w:left="170" w:leftChars="0" w:right="0" w:rightChars="0"/>
              <w:jc w:val="both"/>
              <w:rPr>
                <w:rFonts w:hint="eastAsia" w:ascii="宋体" w:hAnsi="宋体" w:eastAsia="宋体" w:cs="宋体"/>
                <w:sz w:val="24"/>
                <w:szCs w:val="24"/>
                <w:lang w:eastAsia="zh-CN"/>
              </w:rPr>
            </w:pPr>
            <w:r>
              <w:rPr>
                <w:rFonts w:hint="eastAsia" w:ascii="宋体" w:hAnsi="宋体" w:eastAsia="宋体" w:cs="宋体"/>
                <w:sz w:val="24"/>
                <w:szCs w:val="24"/>
                <w:vertAlign w:val="baseline"/>
                <w:lang w:val="en-US" w:eastAsia="zh-CN"/>
              </w:rPr>
              <w:t>提供“省医院”私有化布署“即时通讯IM”安装包，即时通讯需支持PC端、免安装WEB端、移动端，各端口信息实时同步。</w:t>
            </w:r>
          </w:p>
        </w:tc>
        <w:tc>
          <w:tcPr>
            <w:tcW w:w="752"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套</w:t>
            </w:r>
          </w:p>
        </w:tc>
        <w:tc>
          <w:tcPr>
            <w:tcW w:w="888"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3" w:type="dxa"/>
            <w:noWrap w:val="0"/>
            <w:vAlign w:val="center"/>
          </w:tcPr>
          <w:p>
            <w:pPr>
              <w:keepNext w:val="0"/>
              <w:keepLines w:val="0"/>
              <w:numPr>
                <w:ilvl w:val="0"/>
                <w:numId w:val="12"/>
              </w:numPr>
              <w:suppressLineNumbers w:val="0"/>
              <w:spacing w:before="0" w:beforeAutospacing="0" w:after="0" w:afterAutospacing="0" w:line="420" w:lineRule="exact"/>
              <w:ind w:left="675" w:leftChars="0" w:right="0" w:hanging="675" w:firstLineChars="0"/>
              <w:jc w:val="center"/>
              <w:rPr>
                <w:rFonts w:hint="eastAsia" w:ascii="宋体" w:hAnsi="宋体" w:eastAsia="宋体" w:cs="宋体"/>
                <w:sz w:val="24"/>
                <w:szCs w:val="24"/>
                <w:lang w:eastAsia="zh-CN"/>
              </w:rPr>
            </w:pPr>
          </w:p>
        </w:tc>
        <w:tc>
          <w:tcPr>
            <w:tcW w:w="1800" w:type="dxa"/>
            <w:noWrap w:val="0"/>
            <w:vAlign w:val="center"/>
          </w:tcPr>
          <w:p>
            <w:pPr>
              <w:keepNext w:val="0"/>
              <w:keepLines w:val="0"/>
              <w:suppressLineNumbers w:val="0"/>
              <w:spacing w:before="0" w:beforeAutospacing="0" w:after="0" w:afterAutospacing="0" w:line="420" w:lineRule="exact"/>
              <w:ind w:left="0" w:right="0"/>
              <w:jc w:val="left"/>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视频会议管理（私有化部署）</w:t>
            </w:r>
          </w:p>
        </w:tc>
        <w:tc>
          <w:tcPr>
            <w:tcW w:w="4688" w:type="dxa"/>
            <w:gridSpan w:val="2"/>
            <w:noWrap w:val="0"/>
            <w:vAlign w:val="center"/>
          </w:tcPr>
          <w:p>
            <w:pPr>
              <w:keepNext w:val="0"/>
              <w:keepLines w:val="0"/>
              <w:numPr>
                <w:ilvl w:val="0"/>
                <w:numId w:val="0"/>
              </w:numPr>
              <w:suppressLineNumbers w:val="0"/>
              <w:spacing w:before="0" w:beforeAutospacing="0" w:after="0" w:afterAutospacing="0"/>
              <w:ind w:left="170" w:leftChars="0" w:right="0" w:rightChars="0"/>
              <w:jc w:val="both"/>
              <w:rPr>
                <w:rFonts w:hint="eastAsia" w:ascii="宋体" w:hAnsi="宋体" w:eastAsia="宋体" w:cs="宋体"/>
                <w:sz w:val="24"/>
                <w:szCs w:val="24"/>
                <w:vertAlign w:val="baseline"/>
                <w:lang w:val="en-US" w:eastAsia="zh-CN"/>
              </w:rPr>
            </w:pPr>
            <w:r>
              <w:rPr>
                <w:rFonts w:hint="eastAsia" w:ascii="宋体" w:hAnsi="宋体" w:eastAsia="宋体" w:cs="宋体"/>
                <w:color w:val="auto"/>
                <w:sz w:val="24"/>
                <w:szCs w:val="24"/>
              </w:rPr>
              <w:t>视频会议提供高清音视频通话，支持多人同时在线。具备屏幕共享等功能，提升会议效率。支持预约会议、发送会议邀请码，简化会议组织流程。集成文字聊天、文件共享，丰富会议形式。支持主持人控制权限，确保会议秩序。兼容多种设备，随时随地参与会议，助力高效远程协作。</w:t>
            </w:r>
          </w:p>
        </w:tc>
        <w:tc>
          <w:tcPr>
            <w:tcW w:w="752"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套</w:t>
            </w:r>
          </w:p>
        </w:tc>
        <w:tc>
          <w:tcPr>
            <w:tcW w:w="888"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23" w:type="dxa"/>
            <w:noWrap w:val="0"/>
            <w:vAlign w:val="center"/>
          </w:tcPr>
          <w:p>
            <w:pPr>
              <w:keepNext w:val="0"/>
              <w:keepLines w:val="0"/>
              <w:numPr>
                <w:ilvl w:val="0"/>
                <w:numId w:val="12"/>
              </w:numPr>
              <w:suppressLineNumbers w:val="0"/>
              <w:spacing w:before="0" w:beforeAutospacing="0" w:after="0" w:afterAutospacing="0" w:line="420" w:lineRule="exact"/>
              <w:ind w:left="675" w:leftChars="0" w:right="0" w:hanging="675" w:firstLineChars="0"/>
              <w:jc w:val="center"/>
              <w:rPr>
                <w:rFonts w:hint="eastAsia" w:ascii="宋体" w:hAnsi="宋体" w:eastAsia="宋体" w:cs="宋体"/>
                <w:sz w:val="24"/>
                <w:szCs w:val="24"/>
                <w:lang w:eastAsia="zh-CN"/>
              </w:rPr>
            </w:pPr>
          </w:p>
        </w:tc>
        <w:tc>
          <w:tcPr>
            <w:tcW w:w="1800" w:type="dxa"/>
            <w:noWrap w:val="0"/>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sz w:val="24"/>
                <w:szCs w:val="24"/>
                <w:lang w:val="en-US" w:eastAsia="zh-CN"/>
              </w:rPr>
            </w:pPr>
            <w:r>
              <w:rPr>
                <w:rFonts w:hint="eastAsia" w:ascii="宋体" w:hAnsi="宋体" w:eastAsia="宋体" w:cs="宋体"/>
                <w:color w:val="auto"/>
                <w:sz w:val="24"/>
                <w:szCs w:val="24"/>
                <w:lang w:eastAsia="zh-CN"/>
              </w:rPr>
              <w:t>电子签章系统</w:t>
            </w:r>
          </w:p>
        </w:tc>
        <w:tc>
          <w:tcPr>
            <w:tcW w:w="4688" w:type="dxa"/>
            <w:gridSpan w:val="2"/>
            <w:noWrap w:val="0"/>
            <w:vAlign w:val="center"/>
          </w:tcPr>
          <w:p>
            <w:pPr>
              <w:keepNext w:val="0"/>
              <w:keepLines w:val="0"/>
              <w:numPr>
                <w:ilvl w:val="0"/>
                <w:numId w:val="0"/>
              </w:numPr>
              <w:suppressLineNumbers w:val="0"/>
              <w:spacing w:before="0" w:beforeAutospacing="0" w:after="0" w:afterAutospacing="0"/>
              <w:ind w:left="170" w:leftChars="0" w:right="0" w:righ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USB Key（UK）认证方式电子签章系统，支持对流式文档如WORD、EXCEL、WPS文字、WPS表格及OFD/PDF版式文档中加盖具有可信性验证的安全电子签章，并能进行跨设备阅读及手写签批等操作。</w:t>
            </w:r>
          </w:p>
        </w:tc>
        <w:tc>
          <w:tcPr>
            <w:tcW w:w="752"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套</w:t>
            </w:r>
          </w:p>
        </w:tc>
        <w:tc>
          <w:tcPr>
            <w:tcW w:w="888"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3" w:type="dxa"/>
            <w:noWrap w:val="0"/>
            <w:vAlign w:val="center"/>
          </w:tcPr>
          <w:p>
            <w:pPr>
              <w:keepNext w:val="0"/>
              <w:keepLines w:val="0"/>
              <w:numPr>
                <w:ilvl w:val="0"/>
                <w:numId w:val="12"/>
              </w:numPr>
              <w:suppressLineNumbers w:val="0"/>
              <w:spacing w:before="0" w:beforeAutospacing="0" w:after="0" w:afterAutospacing="0" w:line="420" w:lineRule="exact"/>
              <w:ind w:left="675" w:leftChars="0" w:right="0" w:hanging="675" w:firstLineChars="0"/>
              <w:jc w:val="center"/>
              <w:rPr>
                <w:rFonts w:hint="eastAsia" w:ascii="宋体" w:hAnsi="宋体" w:eastAsia="宋体" w:cs="宋体"/>
                <w:sz w:val="24"/>
                <w:szCs w:val="24"/>
                <w:lang w:eastAsia="zh-CN"/>
              </w:rPr>
            </w:pPr>
          </w:p>
        </w:tc>
        <w:tc>
          <w:tcPr>
            <w:tcW w:w="1800" w:type="dxa"/>
            <w:noWrap w:val="0"/>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第三方系统对接开发（集成平台）</w:t>
            </w:r>
          </w:p>
        </w:tc>
        <w:tc>
          <w:tcPr>
            <w:tcW w:w="4688" w:type="dxa"/>
            <w:gridSpan w:val="2"/>
            <w:noWrap w:val="0"/>
            <w:vAlign w:val="center"/>
          </w:tcPr>
          <w:p>
            <w:pPr>
              <w:keepNext w:val="0"/>
              <w:keepLines w:val="0"/>
              <w:numPr>
                <w:ilvl w:val="0"/>
                <w:numId w:val="0"/>
              </w:numPr>
              <w:suppressLineNumbers w:val="0"/>
              <w:spacing w:before="0" w:beforeAutospacing="0" w:after="0" w:afterAutospacing="0"/>
              <w:ind w:left="0" w:right="0" w:rightChars="0"/>
              <w:jc w:val="both"/>
              <w:rPr>
                <w:rFonts w:hint="eastAsia" w:ascii="宋体" w:hAnsi="宋体" w:eastAsia="宋体" w:cs="宋体"/>
                <w:sz w:val="24"/>
                <w:szCs w:val="24"/>
                <w:lang w:val="en-US" w:eastAsia="zh-CN"/>
              </w:rPr>
            </w:pPr>
            <w:r>
              <w:rPr>
                <w:rFonts w:hint="eastAsia" w:ascii="宋体" w:hAnsi="宋体" w:eastAsia="宋体" w:cs="宋体"/>
                <w:sz w:val="24"/>
                <w:szCs w:val="24"/>
              </w:rPr>
              <w:t>包括：数据接口管理，人资系统，API接口，HIS接口，HIS日报，EMR接口，合同管理系统，医用高值耗材系统，固定资产系统，财务系统，高值耗材管理，第三方安全产品接口，帆软接口等。</w:t>
            </w:r>
          </w:p>
        </w:tc>
        <w:tc>
          <w:tcPr>
            <w:tcW w:w="752"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w:t>
            </w:r>
          </w:p>
        </w:tc>
        <w:tc>
          <w:tcPr>
            <w:tcW w:w="888"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3" w:type="dxa"/>
            <w:noWrap w:val="0"/>
            <w:vAlign w:val="center"/>
          </w:tcPr>
          <w:p>
            <w:pPr>
              <w:keepNext w:val="0"/>
              <w:keepLines w:val="0"/>
              <w:numPr>
                <w:ilvl w:val="0"/>
                <w:numId w:val="12"/>
              </w:numPr>
              <w:suppressLineNumbers w:val="0"/>
              <w:spacing w:before="0" w:beforeAutospacing="0" w:after="0" w:afterAutospacing="0" w:line="420" w:lineRule="exact"/>
              <w:ind w:left="675" w:leftChars="0" w:right="0" w:hanging="675" w:firstLineChars="0"/>
              <w:jc w:val="center"/>
              <w:rPr>
                <w:rFonts w:hint="eastAsia" w:ascii="宋体" w:hAnsi="宋体" w:eastAsia="宋体" w:cs="宋体"/>
                <w:sz w:val="24"/>
                <w:szCs w:val="24"/>
                <w:lang w:eastAsia="zh-CN"/>
              </w:rPr>
            </w:pPr>
          </w:p>
        </w:tc>
        <w:tc>
          <w:tcPr>
            <w:tcW w:w="1800" w:type="dxa"/>
            <w:noWrap w:val="0"/>
            <w:vAlign w:val="center"/>
          </w:tcPr>
          <w:p>
            <w:pPr>
              <w:keepNext w:val="0"/>
              <w:keepLines w:val="0"/>
              <w:suppressLineNumbers w:val="0"/>
              <w:spacing w:before="0" w:beforeAutospacing="0" w:after="0" w:afterAutospacing="0" w:line="420" w:lineRule="exac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零信任终端认证客户端授权数量</w:t>
            </w:r>
          </w:p>
        </w:tc>
        <w:tc>
          <w:tcPr>
            <w:tcW w:w="4688" w:type="dxa"/>
            <w:gridSpan w:val="2"/>
            <w:noWrap w:val="0"/>
            <w:vAlign w:val="center"/>
          </w:tcPr>
          <w:p>
            <w:pPr>
              <w:keepNext w:val="0"/>
              <w:keepLines w:val="0"/>
              <w:numPr>
                <w:ilvl w:val="0"/>
                <w:numId w:val="0"/>
              </w:numPr>
              <w:suppressLineNumbers w:val="0"/>
              <w:spacing w:before="0" w:beforeAutospacing="0" w:after="0" w:afterAutospacing="0" w:line="420" w:lineRule="exact"/>
              <w:ind w:left="0" w:leftChars="0" w:right="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零信任终端安全防御认证系统客户端</w:t>
            </w:r>
          </w:p>
        </w:tc>
        <w:tc>
          <w:tcPr>
            <w:tcW w:w="752"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套</w:t>
            </w:r>
          </w:p>
        </w:tc>
        <w:tc>
          <w:tcPr>
            <w:tcW w:w="888" w:type="dxa"/>
            <w:noWrap w:val="0"/>
            <w:vAlign w:val="center"/>
          </w:tcPr>
          <w:p>
            <w:pPr>
              <w:keepNext w:val="0"/>
              <w:keepLines w:val="0"/>
              <w:suppressLineNumbers w:val="0"/>
              <w:spacing w:before="0" w:beforeAutospacing="0" w:after="0" w:afterAutospacing="0" w:line="420" w:lineRule="exact"/>
              <w:ind w:left="0" w:right="0"/>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1</w:t>
            </w:r>
          </w:p>
        </w:tc>
      </w:tr>
    </w:tbl>
    <w:p>
      <w:pPr>
        <w:rPr>
          <w:rFonts w:hint="default" w:eastAsia="宋体"/>
          <w:lang w:val="en-US" w:eastAsia="zh-CN"/>
        </w:rPr>
      </w:pPr>
      <w:r>
        <w:rPr>
          <w:rFonts w:hint="eastAsia"/>
          <w:lang w:val="en-US" w:eastAsia="zh-CN"/>
        </w:rPr>
        <w:t>重点模块需求简介</w:t>
      </w:r>
    </w:p>
    <w:tbl>
      <w:tblPr>
        <w:tblStyle w:val="7"/>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688"/>
        <w:gridCol w:w="1325"/>
        <w:gridCol w:w="5400"/>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930" w:type="dxa"/>
            <w:gridSpan w:val="5"/>
            <w:tcBorders>
              <w:tl2br w:val="nil"/>
              <w:tr2bl w:val="nil"/>
            </w:tcBorders>
            <w:vAlign w:val="center"/>
          </w:tcPr>
          <w:p>
            <w:pPr>
              <w:keepNext w:val="0"/>
              <w:keepLines w:val="0"/>
              <w:numPr>
                <w:ilvl w:val="0"/>
                <w:numId w:val="15"/>
              </w:numPr>
              <w:suppressLineNumbers w:val="0"/>
              <w:spacing w:before="0" w:beforeAutospacing="0" w:after="0" w:afterAutospacing="0"/>
              <w:ind w:left="0" w:leftChars="0" w:right="0" w:firstLine="420" w:firstLineChars="0"/>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公文管理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restart"/>
            <w:tcBorders>
              <w:tl2br w:val="nil"/>
              <w:tr2bl w:val="nil"/>
            </w:tcBorders>
            <w:vAlign w:val="center"/>
          </w:tcPr>
          <w:p>
            <w:pPr>
              <w:keepNext w:val="0"/>
              <w:keepLines w:val="0"/>
              <w:numPr>
                <w:ilvl w:val="0"/>
                <w:numId w:val="16"/>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restart"/>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r>
              <w:rPr>
                <w:rFonts w:hint="eastAsia" w:ascii="宋体" w:hAnsi="宋体" w:eastAsia="宋体" w:cs="宋体"/>
                <w:sz w:val="21"/>
                <w:szCs w:val="21"/>
              </w:rPr>
              <w:t>公文管理</w:t>
            </w: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收文管理，发文管理</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公文管理支持涵盖收文管理、发文管理、签报管理、公文交换、公文督办、公文统计、公文档案等多个部分，支持实现各种日常公文格式，为用户提供公文的收发签、流转过程和文件归档存放、查询、统计等管理功能，同时也支持提供公文信息交换、查询、督办等功能。采用wps</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 xml:space="preserve">web </w:t>
            </w:r>
            <w:r>
              <w:rPr>
                <w:rFonts w:hint="eastAsia" w:ascii="宋体" w:hAnsi="宋体" w:eastAsia="宋体" w:cs="宋体"/>
                <w:color w:val="auto"/>
                <w:sz w:val="21"/>
                <w:szCs w:val="21"/>
              </w:rPr>
              <w:t>Office两种</w:t>
            </w:r>
            <w:r>
              <w:rPr>
                <w:rFonts w:hint="eastAsia" w:ascii="宋体" w:hAnsi="宋体" w:eastAsia="宋体" w:cs="宋体"/>
                <w:color w:val="auto"/>
                <w:sz w:val="21"/>
                <w:szCs w:val="21"/>
                <w:lang w:eastAsia="zh-CN"/>
              </w:rPr>
              <w:t>方式</w:t>
            </w:r>
            <w:r>
              <w:rPr>
                <w:rFonts w:hint="eastAsia" w:ascii="宋体" w:hAnsi="宋体" w:eastAsia="宋体" w:cs="宋体"/>
                <w:color w:val="auto"/>
                <w:sz w:val="21"/>
                <w:szCs w:val="21"/>
              </w:rPr>
              <w:t>实现自动生成公文正文，控制各流转环节相支持修改权限及正文、公章状态，可设置编辑下载策略和自动归档等</w:t>
            </w:r>
            <w:r>
              <w:rPr>
                <w:rFonts w:hint="eastAsia" w:ascii="宋体" w:hAnsi="宋体" w:eastAsia="宋体" w:cs="宋体"/>
                <w:color w:val="auto"/>
                <w:sz w:val="21"/>
                <w:szCs w:val="21"/>
                <w:lang w:eastAsia="zh-CN"/>
              </w:rPr>
              <w:t>。</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电子公文管理</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完整的流转过程，提供完整且完善的电子公文管理功能：实现发文、公文交换、收文、归档、查询一体化公文管理过程；并提供签报管理功能，实现内部流转，无需做公文交换</w:t>
            </w:r>
            <w:r>
              <w:rPr>
                <w:rFonts w:hint="eastAsia" w:ascii="宋体" w:hAnsi="宋体" w:eastAsia="宋体" w:cs="宋体"/>
                <w:color w:val="auto"/>
                <w:sz w:val="21"/>
                <w:szCs w:val="21"/>
                <w:lang w:eastAsia="zh-CN"/>
              </w:rPr>
              <w:t>。</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审核审批</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支持实现领导审核审批、电子盖章、签字、文单签批、意见签署等支持用，为组织中各级领导处理公文提供易用工具。</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公文督办</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支持公文督办，规范办理流程、梳理和明确职能，发挥枢纽作用。</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公文流转</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刚性控制与柔性管理的结合，公文流转过程中，通过公文模板（流程模板、公文正文模板等）支持公文流转的正式性、严肃性与规范性，实现公文管理的刚性控制；与此同时，通过会签、多级会签、回退、终止等，支持公文流转过程中的异常情况处理，支持符合中国国情的组织柔性管理。</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留痕信息管理</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支持留痕信息管理，提供两种留痕信息管理，一种为保留电子公文的具体修改的内容，即修改内容留痕；一种为显示修改痕迹。使得公文流转过程中，对公文的操作及操作对象、操作者都清晰可见。</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公文高保密性与安全性</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公文高保密性与安全性，支持公文文单、正文的修改权限控制，以及增减附件的控制，支持复制、下载、打印权限控制，防拷贝，实现公文传输的安全性。</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电子公文归档和安全存放</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支持电子公文归档和安全存放，确保公文归档保存的真实、完整、安全与可识别；并提供公文文档库管理功能，实现公文分类、入卷、借阅，并记录相支持操作过程。</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电子印章</w:t>
            </w: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支持电子印章，支持电子印章授权与校验。</w:t>
            </w:r>
          </w:p>
        </w:tc>
        <w:tc>
          <w:tcPr>
            <w:tcW w:w="1071" w:type="dxa"/>
            <w:tcBorders>
              <w:tl2br w:val="nil"/>
              <w:tr2bl w:val="nil"/>
            </w:tcBorders>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文号制作</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提供文号制作功能，支持公文文号、内部文号自动生成，并提供断号管理。</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公文查询与统计</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统计查询，支持公文查询与统计自定义查询条件，实现分时分类统计与查询。</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公文转发</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支持公文转发，支持收文转发文、收文转公告。</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公文信息关联</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支持公文信息关联，公文可关联其它公文、文档中心的相关文档等。</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公文流程日志</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支持公文流程日志，可了解到整个公文的流转状态，便于公文的发起者、处理者、督办人员对公文中每位参与者状况的了解。可以查看到各处理人的公文收到时间、处理时间，处理时长、有无延期等情况，以便清楚公文的流转效率和瓶颈所在。</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办公套件集成</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办公套件集成，系统须支持集成标准化办公组件，具备公文编辑、版式转换与阅读、电子印章等功能。支持集成标准化套件，提供对电子公文处理系统中公文的编辑、成文、签章和阅读等功能的支撑，应主要包括：公文编辑组件、公文转换组件、公文阅读组件、电子印章组件。</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多屏显示</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b/>
                <w:bCs/>
                <w:sz w:val="21"/>
                <w:szCs w:val="21"/>
              </w:rPr>
              <w:t>★</w:t>
            </w:r>
            <w:r>
              <w:rPr>
                <w:rFonts w:hint="eastAsia" w:ascii="宋体" w:hAnsi="宋体" w:eastAsia="宋体" w:cs="宋体"/>
                <w:sz w:val="21"/>
                <w:szCs w:val="21"/>
              </w:rPr>
              <w:t>支持公文</w:t>
            </w:r>
            <w:r>
              <w:rPr>
                <w:rFonts w:hint="eastAsia" w:ascii="宋体" w:hAnsi="宋体" w:eastAsia="宋体" w:cs="宋体"/>
                <w:sz w:val="21"/>
                <w:szCs w:val="21"/>
                <w:lang w:eastAsia="zh-CN"/>
              </w:rPr>
              <w:t>或任何流程</w:t>
            </w:r>
            <w:r>
              <w:rPr>
                <w:rFonts w:hint="eastAsia" w:ascii="宋体" w:hAnsi="宋体" w:eastAsia="宋体" w:cs="宋体"/>
                <w:sz w:val="21"/>
                <w:szCs w:val="21"/>
              </w:rPr>
              <w:t>一屏显示：在一个页面上显示公文正文</w:t>
            </w:r>
            <w:r>
              <w:rPr>
                <w:rFonts w:hint="eastAsia" w:ascii="宋体" w:hAnsi="宋体" w:eastAsia="宋体" w:cs="宋体"/>
                <w:sz w:val="21"/>
                <w:szCs w:val="21"/>
                <w:lang w:eastAsia="zh-CN"/>
              </w:rPr>
              <w:t>，和多附件内容（包括</w:t>
            </w:r>
            <w:r>
              <w:rPr>
                <w:rFonts w:hint="eastAsia" w:ascii="宋体" w:hAnsi="宋体" w:eastAsia="宋体" w:cs="宋体"/>
                <w:sz w:val="21"/>
                <w:szCs w:val="21"/>
                <w:lang w:val="en-US" w:eastAsia="zh-CN"/>
              </w:rPr>
              <w:t>office文件、OFD、PDF、图片等</w:t>
            </w:r>
            <w:r>
              <w:rPr>
                <w:rFonts w:hint="eastAsia" w:ascii="宋体" w:hAnsi="宋体" w:eastAsia="宋体" w:cs="宋体"/>
                <w:sz w:val="21"/>
                <w:szCs w:val="21"/>
                <w:lang w:eastAsia="zh-CN"/>
              </w:rPr>
              <w:t>），多附件需要满足多标签页切换</w:t>
            </w:r>
            <w:r>
              <w:rPr>
                <w:rFonts w:hint="eastAsia" w:ascii="宋体" w:hAnsi="宋体" w:eastAsia="宋体" w:cs="宋体"/>
                <w:sz w:val="21"/>
                <w:szCs w:val="21"/>
              </w:rPr>
              <w:t>、公文表单、签批件、协同信息等信息，也支持公文的稿纸</w:t>
            </w:r>
            <w:r>
              <w:rPr>
                <w:rFonts w:hint="eastAsia" w:ascii="宋体" w:hAnsi="宋体" w:eastAsia="宋体" w:cs="宋体"/>
                <w:sz w:val="21"/>
                <w:szCs w:val="21"/>
                <w:lang w:eastAsia="zh-CN"/>
              </w:rPr>
              <w:t>（表单）</w:t>
            </w:r>
            <w:r>
              <w:rPr>
                <w:rFonts w:hint="eastAsia" w:ascii="宋体" w:hAnsi="宋体" w:eastAsia="宋体" w:cs="宋体"/>
                <w:sz w:val="21"/>
                <w:szCs w:val="21"/>
              </w:rPr>
              <w:t>和正文</w:t>
            </w:r>
            <w:r>
              <w:rPr>
                <w:rFonts w:hint="eastAsia" w:ascii="宋体" w:hAnsi="宋体" w:eastAsia="宋体" w:cs="宋体"/>
                <w:sz w:val="21"/>
                <w:szCs w:val="21"/>
                <w:lang w:eastAsia="zh-CN"/>
              </w:rPr>
              <w:t>（包括多个附件）</w:t>
            </w:r>
            <w:r>
              <w:rPr>
                <w:rFonts w:hint="eastAsia" w:ascii="宋体" w:hAnsi="宋体" w:eastAsia="宋体" w:cs="宋体"/>
                <w:sz w:val="21"/>
                <w:szCs w:val="21"/>
              </w:rPr>
              <w:t>左右分屏展示：左侧展示</w:t>
            </w:r>
            <w:r>
              <w:rPr>
                <w:rFonts w:hint="eastAsia" w:ascii="宋体" w:hAnsi="宋体" w:eastAsia="宋体" w:cs="宋体"/>
                <w:sz w:val="21"/>
                <w:szCs w:val="21"/>
                <w:lang w:eastAsia="zh-CN"/>
              </w:rPr>
              <w:t>正文（同时支持正文、多附件的多标签）</w:t>
            </w:r>
            <w:r>
              <w:rPr>
                <w:rFonts w:hint="eastAsia" w:ascii="宋体" w:hAnsi="宋体" w:eastAsia="宋体" w:cs="宋体"/>
                <w:sz w:val="21"/>
                <w:szCs w:val="21"/>
              </w:rPr>
              <w:t>、</w:t>
            </w:r>
            <w:r>
              <w:rPr>
                <w:rFonts w:hint="eastAsia" w:ascii="宋体" w:hAnsi="宋体" w:eastAsia="宋体" w:cs="宋体"/>
                <w:sz w:val="21"/>
                <w:szCs w:val="21"/>
                <w:lang w:eastAsia="zh-CN"/>
              </w:rPr>
              <w:t>中间展示表单、</w:t>
            </w:r>
            <w:r>
              <w:rPr>
                <w:rFonts w:hint="eastAsia" w:ascii="宋体" w:hAnsi="宋体" w:eastAsia="宋体" w:cs="宋体"/>
                <w:sz w:val="21"/>
                <w:szCs w:val="21"/>
              </w:rPr>
              <w:t>右侧展</w:t>
            </w:r>
            <w:r>
              <w:rPr>
                <w:rFonts w:hint="eastAsia" w:ascii="宋体" w:hAnsi="宋体" w:eastAsia="宋体" w:cs="宋体"/>
                <w:sz w:val="21"/>
                <w:szCs w:val="21"/>
                <w:lang w:eastAsia="zh-CN"/>
              </w:rPr>
              <w:t>示签批内容。</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cs="宋体"/>
                <w:sz w:val="21"/>
                <w:szCs w:val="21"/>
              </w:rPr>
              <w:t>公文套红</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sz w:val="21"/>
                <w:szCs w:val="21"/>
              </w:rPr>
              <w:t>支持公文套红，选择套红模板后自动在正文上进行套红；可自定义公文套红模板，在套红模板上编辑发文红头文件格式、样式、字体、颜色</w:t>
            </w:r>
            <w:r>
              <w:rPr>
                <w:rFonts w:hint="eastAsia" w:ascii="宋体" w:hAnsi="宋体" w:eastAsia="宋体" w:cs="宋体"/>
                <w:sz w:val="21"/>
                <w:szCs w:val="21"/>
                <w:lang w:eastAsia="zh-CN"/>
              </w:rPr>
              <w:t>，同时支持金山</w:t>
            </w:r>
            <w:r>
              <w:rPr>
                <w:rFonts w:hint="eastAsia" w:ascii="宋体" w:hAnsi="宋体" w:eastAsia="宋体" w:cs="宋体"/>
                <w:sz w:val="21"/>
                <w:szCs w:val="21"/>
                <w:lang w:val="en-US" w:eastAsia="zh-CN"/>
              </w:rPr>
              <w:t>WPS客户端软件套红（在B/S  OA系统中点击套红，OA系统自动唤醒并且启动本地电脑的金山WPS进行套红，同时支持web office在浏览器选择套红模板套红）</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审批操作</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b/>
                <w:bCs/>
                <w:sz w:val="21"/>
                <w:szCs w:val="21"/>
              </w:rPr>
            </w:pPr>
            <w:r>
              <w:rPr>
                <w:rFonts w:hint="eastAsia" w:ascii="宋体" w:hAnsi="宋体" w:eastAsia="宋体" w:cs="宋体"/>
                <w:sz w:val="21"/>
                <w:szCs w:val="21"/>
              </w:rPr>
              <w:t>★支持将审批操作按钮放在</w:t>
            </w:r>
            <w:r>
              <w:rPr>
                <w:rFonts w:hint="eastAsia" w:ascii="宋体" w:hAnsi="宋体" w:eastAsia="宋体" w:cs="宋体"/>
                <w:sz w:val="21"/>
                <w:szCs w:val="21"/>
                <w:lang w:eastAsia="zh-CN"/>
              </w:rPr>
              <w:t>表单</w:t>
            </w:r>
            <w:r>
              <w:rPr>
                <w:rFonts w:hint="eastAsia" w:ascii="宋体" w:hAnsi="宋体" w:eastAsia="宋体" w:cs="宋体"/>
                <w:sz w:val="21"/>
                <w:szCs w:val="21"/>
              </w:rPr>
              <w:t>稿纸指定位置，方便领导直观操作</w:t>
            </w:r>
            <w:r>
              <w:rPr>
                <w:rFonts w:hint="eastAsia" w:ascii="宋体" w:hAnsi="宋体" w:eastAsia="宋体" w:cs="宋体"/>
                <w:sz w:val="21"/>
                <w:szCs w:val="21"/>
                <w:lang w:eastAsia="zh-CN"/>
              </w:rPr>
              <w:t>，同时支持审批意见在统一固定的位置，领导审批完成后，系统自动把审批意见对应到表单指定的位置</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留号管理</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针对某个公文流程进行留号操作，具体操作如下，某个公文流程，当前流水号为</w:t>
            </w:r>
            <w:r>
              <w:rPr>
                <w:rFonts w:hint="eastAsia" w:ascii="宋体" w:hAnsi="宋体" w:eastAsia="宋体" w:cs="宋体"/>
                <w:sz w:val="21"/>
                <w:szCs w:val="21"/>
                <w:lang w:val="en-US" w:eastAsia="zh-CN"/>
              </w:rPr>
              <w:t>20，需要先把50，100，101，102或200等流水号进行锁定不能使用，任何时侯需要使用之前锁定的流水号，都可以选择使用。</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电子公文全流程归档</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电子公文全流程归档等功能，接入档案管理系统。</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dxa"/>
            <w:tcBorders>
              <w:tl2br w:val="nil"/>
              <w:tr2bl w:val="nil"/>
            </w:tcBorders>
            <w:vAlign w:val="center"/>
          </w:tcPr>
          <w:p>
            <w:pPr>
              <w:keepNext w:val="0"/>
              <w:keepLines w:val="0"/>
              <w:numPr>
                <w:ilvl w:val="0"/>
                <w:numId w:val="16"/>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党群管理</w:t>
            </w: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党群管理</w:t>
            </w:r>
          </w:p>
        </w:tc>
        <w:tc>
          <w:tcPr>
            <w:tcW w:w="5400" w:type="dxa"/>
            <w:tcBorders>
              <w:tl2br w:val="nil"/>
              <w:tr2bl w:val="nil"/>
            </w:tcBorders>
            <w:vAlign w:val="top"/>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党群管理：党委收文处理单、院内信息发布申请、纪检收文处理单、纪检发文处理单、工会发文申请、党委发文处理单、纪检事项呈批单、工会文件呈批单、党委事项呈批单、工会收文处理单</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bl>
    <w:p/>
    <w:tbl>
      <w:tblPr>
        <w:tblStyle w:val="7"/>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688"/>
        <w:gridCol w:w="1325"/>
        <w:gridCol w:w="5400"/>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930" w:type="dxa"/>
            <w:gridSpan w:val="5"/>
            <w:tcBorders>
              <w:tl2br w:val="nil"/>
              <w:tr2bl w:val="nil"/>
            </w:tcBorders>
            <w:vAlign w:val="center"/>
          </w:tcPr>
          <w:p>
            <w:pPr>
              <w:keepNext w:val="0"/>
              <w:keepLines w:val="0"/>
              <w:numPr>
                <w:ilvl w:val="0"/>
                <w:numId w:val="15"/>
              </w:numPr>
              <w:suppressLineNumbers w:val="0"/>
              <w:spacing w:before="0" w:beforeAutospacing="0" w:after="0" w:afterAutospacing="0"/>
              <w:ind w:left="0" w:leftChars="0" w:right="0" w:firstLine="420" w:firstLineChars="0"/>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表单引擎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restart"/>
            <w:tcBorders>
              <w:tl2br w:val="nil"/>
              <w:tr2bl w:val="nil"/>
            </w:tcBorders>
            <w:vAlign w:val="center"/>
          </w:tcPr>
          <w:p>
            <w:pPr>
              <w:keepNext w:val="0"/>
              <w:keepLines w:val="0"/>
              <w:numPr>
                <w:ilvl w:val="0"/>
                <w:numId w:val="16"/>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highlight w:val="none"/>
                <w:lang w:val="en-US" w:eastAsia="zh-CN"/>
              </w:rPr>
            </w:pPr>
          </w:p>
        </w:tc>
        <w:tc>
          <w:tcPr>
            <w:tcW w:w="688" w:type="dxa"/>
            <w:vMerge w:val="restart"/>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表单设计器</w:t>
            </w:r>
          </w:p>
        </w:tc>
        <w:tc>
          <w:tcPr>
            <w:tcW w:w="1325" w:type="dxa"/>
            <w:vMerge w:val="restart"/>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表单使用</w:t>
            </w: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支持附件的批量上传、下载，支持附件顺序调整，以及附件重命名</w:t>
            </w:r>
            <w:r>
              <w:rPr>
                <w:rFonts w:hint="eastAsia" w:ascii="宋体" w:hAnsi="宋体" w:eastAsia="宋体" w:cs="宋体"/>
                <w:color w:val="auto"/>
                <w:sz w:val="21"/>
                <w:szCs w:val="21"/>
                <w:highlight w:val="none"/>
                <w:lang w:eastAsia="zh-CN"/>
              </w:rPr>
              <w:t>，支持所有第三方截图工具，截图后无需保存到本地电脑才能选择附件上传，而是截图成功后直接上传到任意对应模块的附件中；支持复制第三方网站图片，包括聊天工具中的图片，同样坻需保存到本地电脑才能选择附件上传，而是直接上传到任意对应模块的附件中</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vMerge w:val="continue"/>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提单人可以设置表单中的阅读权限、附件权限，附件权限可以管理到是否可拷贝、可下载、可打印等这种细化程度</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vMerge w:val="continue"/>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审批意见可以显示在表单上，且打印表单时可以打印出审批意见</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vMerge w:val="restart"/>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表单</w:t>
            </w:r>
            <w:r>
              <w:rPr>
                <w:rFonts w:hint="eastAsia" w:ascii="宋体" w:hAnsi="宋体" w:eastAsia="宋体" w:cs="宋体"/>
                <w:color w:val="auto"/>
                <w:sz w:val="21"/>
                <w:szCs w:val="21"/>
                <w:lang w:eastAsia="zh-CN"/>
              </w:rPr>
              <w:t>设计器</w:t>
            </w: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★表单引擎，像玩“乐高”一样自由搭建企业数据入口。丰富的字段类型、拖拽式的表单设计，自定义的表单样式</w:t>
            </w:r>
            <w:r>
              <w:rPr>
                <w:rFonts w:hint="eastAsia" w:ascii="宋体" w:hAnsi="宋体" w:eastAsia="宋体" w:cs="宋体"/>
                <w:color w:val="auto"/>
                <w:sz w:val="21"/>
                <w:szCs w:val="21"/>
                <w:lang w:eastAsia="zh-CN"/>
              </w:rPr>
              <w:t>。</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支持可视化表单</w:t>
            </w:r>
            <w:r>
              <w:rPr>
                <w:rFonts w:hint="eastAsia" w:ascii="宋体" w:hAnsi="宋体" w:eastAsia="宋体" w:cs="宋体"/>
                <w:color w:val="auto"/>
                <w:sz w:val="21"/>
                <w:szCs w:val="21"/>
                <w:lang w:eastAsia="zh-CN"/>
              </w:rPr>
              <w:t>拖拽的方式，</w:t>
            </w:r>
            <w:r>
              <w:rPr>
                <w:rFonts w:hint="eastAsia" w:ascii="宋体" w:hAnsi="宋体" w:eastAsia="宋体" w:cs="宋体"/>
                <w:color w:val="auto"/>
                <w:sz w:val="21"/>
                <w:szCs w:val="21"/>
              </w:rPr>
              <w:t>配置，提供丰富的表单控件，包括但不限于常规表单元素（单行输入、多行输入、单选按钮、多选按钮、下拉菜单、日期选择、附件上传、值计算、大小写转换等）、集成表单控件、地图控件、大数据控件、二维码控件、投票结果控件、审批意见控件，图片，文件上传，视频上传，邮箱，手机，数字，金额，会计科目，银行帐户，身份证，地理位置，身份证号，地区，公文控件，编号，计算表达式，流程关联等控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配置效果即真实效果，所见即所得</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vMerge w:val="continue"/>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w:t>
            </w:r>
            <w:r>
              <w:rPr>
                <w:rFonts w:hint="eastAsia" w:ascii="宋体" w:hAnsi="宋体" w:eastAsia="宋体" w:cs="宋体"/>
                <w:b w:val="0"/>
                <w:bCs w:val="0"/>
                <w:color w:val="auto"/>
                <w:sz w:val="21"/>
                <w:szCs w:val="21"/>
                <w:lang w:eastAsia="zh-CN"/>
              </w:rPr>
              <w:t>本次采购的项目管理系统，所有新增，发起，编辑页面，用户都能再次通过系统自定义表单引擎，再次重新定义字段，包括增加，减少字段，字段类型，</w:t>
            </w:r>
            <w:r>
              <w:rPr>
                <w:rFonts w:hint="eastAsia" w:ascii="宋体" w:hAnsi="宋体" w:eastAsia="宋体" w:cs="宋体"/>
                <w:color w:val="auto"/>
                <w:sz w:val="21"/>
                <w:szCs w:val="21"/>
              </w:rPr>
              <w:t>包括但不限于常规表单元素（单行输入、多行输入、单选按钮、多选按钮、下拉菜单、日期选择、附件上传、值计算、大小写转换等）、集成表单控件、地图控件、大数据控件、二维码控件、投票结果控件、审批意见控件，图片，文件上传，视频上传，邮箱，手机，数字，金额，会计科目，银行帐户，身份证，地理位置，身份证号，地区，公文控件，编号，计算表达式，流程关联等控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配置效果即真实效果，所见即所得</w:t>
            </w:r>
            <w:r>
              <w:rPr>
                <w:rFonts w:hint="eastAsia" w:ascii="宋体" w:hAnsi="宋体" w:eastAsia="宋体" w:cs="宋体"/>
                <w:color w:val="auto"/>
                <w:sz w:val="21"/>
                <w:szCs w:val="21"/>
                <w:lang w:eastAsia="zh-CN"/>
              </w:rPr>
              <w:t>。</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vMerge w:val="continue"/>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lang w:eastAsia="zh-CN"/>
              </w:rPr>
              <w:t>每个字段都可以设置为加密字段，设置为加密字段的字段，需要与权限配合，只有查看加密字段的权限角色组，才能查看加密字段的内容</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vMerge w:val="continue"/>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b/>
                <w:bCs/>
                <w:color w:val="auto"/>
                <w:sz w:val="21"/>
                <w:szCs w:val="21"/>
              </w:rPr>
            </w:pPr>
            <w:r>
              <w:rPr>
                <w:rFonts w:hint="eastAsia" w:ascii="宋体" w:hAnsi="宋体" w:eastAsia="宋体" w:cs="宋体"/>
                <w:color w:val="auto"/>
                <w:sz w:val="21"/>
                <w:szCs w:val="21"/>
              </w:rPr>
              <w:t>可实现权限区段控制，不同节点不同审批人有表单字段</w:t>
            </w:r>
            <w:r>
              <w:rPr>
                <w:rFonts w:hint="eastAsia" w:ascii="宋体" w:hAnsi="宋体" w:eastAsia="宋体" w:cs="宋体"/>
                <w:color w:val="auto"/>
                <w:sz w:val="21"/>
                <w:szCs w:val="21"/>
                <w:lang w:eastAsia="zh-CN"/>
              </w:rPr>
              <w:t>查看或修改</w:t>
            </w:r>
            <w:r>
              <w:rPr>
                <w:rFonts w:hint="eastAsia" w:ascii="宋体" w:hAnsi="宋体" w:eastAsia="宋体" w:cs="宋体"/>
                <w:color w:val="auto"/>
                <w:sz w:val="21"/>
                <w:szCs w:val="21"/>
              </w:rPr>
              <w:t>权限</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vMerge w:val="continue"/>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隐藏表单的字段：支持多表单，不同流程审批节点可展现不同的表单，无需写任何一个代码，表单即可通过A字段的值，控制B字段或多个字段隐藏或显示，如下拉字段或单选字段A字段的值为是否需要董事长审批，点击“是”表单内容中对应的与董事长相关的所有字段，才显示，否则隐藏表单的字段</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vMerge w:val="continue"/>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★表单需要支持“唯一性约束”，单个字段唯一性约束或任意多个字段组合“唯一性约束”。</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vMerge w:val="continue"/>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★任何一个表单可以对应多个流程，表单数据需要支持批量导入，导入Excel模板系统自动生成，无需人工制作导入Excel模板，如表单增加字段或减少字段，Excel模板立即根据表单内空自动实时生成为Excel模板。</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vMerge w:val="continue"/>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表单配置与移动端表单自适应，移动端表单自动生成无需二次设计，如需调整也可以拖拉拽调整</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计算表达式</w:t>
            </w: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w:t>
            </w:r>
          </w:p>
          <w:p>
            <w:pPr>
              <w:keepNext w:val="0"/>
              <w:keepLines w:val="0"/>
              <w:numPr>
                <w:ilvl w:val="0"/>
                <w:numId w:val="17"/>
              </w:numPr>
              <w:suppressLineNumbers w:val="0"/>
              <w:tabs>
                <w:tab w:val="left" w:pos="0"/>
              </w:tabs>
              <w:spacing w:before="0" w:beforeAutospacing="0" w:after="0" w:afterAutospacing="0" w:line="440" w:lineRule="exact"/>
              <w:ind w:left="274" w:leftChars="0" w:right="0" w:hanging="274"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需要实现加减乘除的功能；</w:t>
            </w:r>
          </w:p>
          <w:p>
            <w:pPr>
              <w:keepNext w:val="0"/>
              <w:keepLines w:val="0"/>
              <w:numPr>
                <w:ilvl w:val="0"/>
                <w:numId w:val="17"/>
              </w:numPr>
              <w:suppressLineNumbers w:val="0"/>
              <w:tabs>
                <w:tab w:val="left" w:pos="0"/>
              </w:tabs>
              <w:spacing w:before="0" w:beforeAutospacing="0" w:after="0" w:afterAutospacing="0" w:line="440" w:lineRule="exact"/>
              <w:ind w:left="274" w:leftChars="0" w:right="0" w:hanging="274"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需要实现子表的横向加减乘除，子表的纵向字段单列数据的合计功能；</w:t>
            </w:r>
          </w:p>
          <w:p>
            <w:pPr>
              <w:keepNext w:val="0"/>
              <w:keepLines w:val="0"/>
              <w:numPr>
                <w:ilvl w:val="0"/>
                <w:numId w:val="17"/>
              </w:numPr>
              <w:suppressLineNumbers w:val="0"/>
              <w:tabs>
                <w:tab w:val="left" w:pos="0"/>
              </w:tabs>
              <w:spacing w:before="0" w:beforeAutospacing="0" w:after="0" w:afterAutospacing="0" w:line="440" w:lineRule="exact"/>
              <w:ind w:left="274" w:leftChars="0" w:right="0" w:hanging="274"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需要实现数字金额转换为金额大写；</w:t>
            </w:r>
          </w:p>
          <w:p>
            <w:pPr>
              <w:keepNext w:val="0"/>
              <w:keepLines w:val="0"/>
              <w:numPr>
                <w:ilvl w:val="0"/>
                <w:numId w:val="17"/>
              </w:numPr>
              <w:suppressLineNumbers w:val="0"/>
              <w:tabs>
                <w:tab w:val="left" w:pos="0"/>
              </w:tabs>
              <w:spacing w:before="0" w:beforeAutospacing="0" w:after="0" w:afterAutospacing="0" w:line="440" w:lineRule="exact"/>
              <w:ind w:left="274" w:leftChars="0" w:right="0" w:hanging="274"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需要实现中文转换为为全拼；</w:t>
            </w:r>
          </w:p>
          <w:p>
            <w:pPr>
              <w:keepNext w:val="0"/>
              <w:keepLines w:val="0"/>
              <w:numPr>
                <w:ilvl w:val="0"/>
                <w:numId w:val="17"/>
              </w:numPr>
              <w:suppressLineNumbers w:val="0"/>
              <w:tabs>
                <w:tab w:val="left" w:pos="0"/>
              </w:tabs>
              <w:spacing w:before="0" w:beforeAutospacing="0" w:after="0" w:afterAutospacing="0" w:line="440" w:lineRule="exact"/>
              <w:ind w:left="274" w:leftChars="0" w:right="0" w:hanging="274"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需要实现中文转换为拼音首字母；</w:t>
            </w:r>
          </w:p>
          <w:p>
            <w:pPr>
              <w:keepNext w:val="0"/>
              <w:keepLines w:val="0"/>
              <w:numPr>
                <w:ilvl w:val="0"/>
                <w:numId w:val="17"/>
              </w:numPr>
              <w:suppressLineNumbers w:val="0"/>
              <w:tabs>
                <w:tab w:val="left" w:pos="0"/>
              </w:tabs>
              <w:spacing w:before="0" w:beforeAutospacing="0" w:after="0" w:afterAutospacing="0" w:line="440" w:lineRule="exact"/>
              <w:ind w:left="274" w:leftChars="0" w:right="0" w:hanging="274"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需要实现中文转换为全拼（首字母大写）；</w:t>
            </w:r>
          </w:p>
          <w:p>
            <w:pPr>
              <w:keepNext w:val="0"/>
              <w:keepLines w:val="0"/>
              <w:numPr>
                <w:ilvl w:val="0"/>
                <w:numId w:val="17"/>
              </w:numPr>
              <w:suppressLineNumbers w:val="0"/>
              <w:tabs>
                <w:tab w:val="left" w:pos="0"/>
              </w:tabs>
              <w:spacing w:before="0" w:beforeAutospacing="0" w:after="0" w:afterAutospacing="0" w:line="440" w:lineRule="exact"/>
              <w:ind w:left="274" w:leftChars="0" w:right="0" w:hanging="274"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需要实现中文转换为拼音首字母（大写）；</w:t>
            </w:r>
          </w:p>
          <w:p>
            <w:pPr>
              <w:keepNext w:val="0"/>
              <w:keepLines w:val="0"/>
              <w:numPr>
                <w:ilvl w:val="0"/>
                <w:numId w:val="17"/>
              </w:numPr>
              <w:suppressLineNumbers w:val="0"/>
              <w:tabs>
                <w:tab w:val="left" w:pos="0"/>
              </w:tabs>
              <w:spacing w:before="0" w:beforeAutospacing="0" w:after="0" w:afterAutospacing="0" w:line="440" w:lineRule="exact"/>
              <w:ind w:left="274" w:leftChars="0" w:right="0" w:hanging="274"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单词首字母（大写）；</w:t>
            </w:r>
          </w:p>
          <w:p>
            <w:pPr>
              <w:keepNext w:val="0"/>
              <w:keepLines w:val="0"/>
              <w:numPr>
                <w:ilvl w:val="0"/>
                <w:numId w:val="17"/>
              </w:numPr>
              <w:suppressLineNumbers w:val="0"/>
              <w:tabs>
                <w:tab w:val="left" w:pos="0"/>
              </w:tabs>
              <w:spacing w:before="0" w:beforeAutospacing="0" w:after="0" w:afterAutospacing="0" w:line="440" w:lineRule="exact"/>
              <w:ind w:left="274" w:leftChars="0" w:right="0" w:hanging="274"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日期标准格式公历日期标准格式为：如2020年2月6日转换为中文日期格式，如：二〇二〇年二月六日；</w:t>
            </w:r>
          </w:p>
          <w:p>
            <w:pPr>
              <w:keepNext w:val="0"/>
              <w:keepLines w:val="0"/>
              <w:numPr>
                <w:ilvl w:val="0"/>
                <w:numId w:val="17"/>
              </w:numPr>
              <w:suppressLineNumbers w:val="0"/>
              <w:tabs>
                <w:tab w:val="left" w:pos="0"/>
              </w:tabs>
              <w:spacing w:before="0" w:beforeAutospacing="0" w:after="0" w:afterAutospacing="0" w:line="440" w:lineRule="exact"/>
              <w:ind w:left="274" w:leftChars="0" w:right="0" w:hanging="274"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日期标准格式公历日期标准格式为：如2020年2月6日转换中文汉字大写形式的日期贰零贰零年贰月陆日或二零二零年二月六日；</w:t>
            </w:r>
          </w:p>
          <w:p>
            <w:pPr>
              <w:keepNext w:val="0"/>
              <w:keepLines w:val="0"/>
              <w:numPr>
                <w:ilvl w:val="0"/>
                <w:numId w:val="17"/>
              </w:numPr>
              <w:suppressLineNumbers w:val="0"/>
              <w:tabs>
                <w:tab w:val="left" w:pos="0"/>
              </w:tabs>
              <w:spacing w:before="0" w:beforeAutospacing="0" w:after="0" w:afterAutospacing="0" w:line="440" w:lineRule="exact"/>
              <w:ind w:left="274" w:leftChars="0" w:right="0" w:hanging="274"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实现拼接功能；</w:t>
            </w:r>
          </w:p>
          <w:p>
            <w:pPr>
              <w:keepNext w:val="0"/>
              <w:keepLines w:val="0"/>
              <w:numPr>
                <w:ilvl w:val="0"/>
                <w:numId w:val="17"/>
              </w:numPr>
              <w:suppressLineNumbers w:val="0"/>
              <w:tabs>
                <w:tab w:val="left" w:pos="0"/>
              </w:tabs>
              <w:spacing w:before="0" w:beforeAutospacing="0" w:after="0" w:afterAutospacing="0" w:line="440" w:lineRule="exact"/>
              <w:ind w:left="274" w:leftChars="0" w:right="0" w:hanging="274" w:firstLineChars="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实现比较的条件功能，多个字段的比较的条件功能；</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关联流程数据填充</w:t>
            </w:r>
          </w:p>
        </w:tc>
        <w:tc>
          <w:tcPr>
            <w:tcW w:w="5400" w:type="dxa"/>
            <w:tcBorders>
              <w:tl2br w:val="nil"/>
              <w:tr2bl w:val="nil"/>
            </w:tcBorders>
            <w:vAlign w:val="bottom"/>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支持流程与流程关联的数据填充，并且能获取被关联流程的数据填充到数据表单中，如【B流程】关联【A流程】，A流程表单的数据填充到B流程的数据表单中</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关联流程数据修改</w:t>
            </w:r>
          </w:p>
        </w:tc>
        <w:tc>
          <w:tcPr>
            <w:tcW w:w="5400" w:type="dxa"/>
            <w:tcBorders>
              <w:tl2br w:val="nil"/>
              <w:tr2bl w:val="nil"/>
            </w:tcBorders>
            <w:vAlign w:val="bottom"/>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支持流程与流程关联的数据关联修改，如【B流程】关联【A流程】，B流程表单的数据关联修改A流程的数据表单中；</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关联流程数据计算</w:t>
            </w:r>
          </w:p>
        </w:tc>
        <w:tc>
          <w:tcPr>
            <w:tcW w:w="5400" w:type="dxa"/>
            <w:tcBorders>
              <w:tl2br w:val="nil"/>
              <w:tr2bl w:val="nil"/>
            </w:tcBorders>
            <w:vAlign w:val="bottom"/>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支持流程与流程关联的数据关联计算，如【B流程】关联【A流程】，B流程表单的数据关联计算A流程的数据表单中；</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特殊验证组件</w:t>
            </w:r>
          </w:p>
        </w:tc>
        <w:tc>
          <w:tcPr>
            <w:tcW w:w="5400" w:type="dxa"/>
            <w:tcBorders>
              <w:tl2br w:val="nil"/>
              <w:tr2bl w:val="nil"/>
            </w:tcBorders>
            <w:vAlign w:val="bottom"/>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支持【邮箱，手机，身份证号】字段类型组件，拖拽出此三个字段类型，不需要任何设置，自然就有各自的格式或数据验证功能，如未输入“正确的邮件格式，正确的手机号格式，正确的身份证号格式”，系统自动提示格式不正确；</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编号组件</w:t>
            </w: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编号组件，支持自定义格式和组合编号定义；</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地理位置组件</w:t>
            </w: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地理位置组件，内置一套百度地图或腾讯地图或高德地图等地理位置组件，拖拽即可使用；</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表单唯一性约束</w:t>
            </w:r>
          </w:p>
        </w:tc>
        <w:tc>
          <w:tcPr>
            <w:tcW w:w="5400" w:type="dxa"/>
            <w:tcBorders>
              <w:tl2br w:val="nil"/>
              <w:tr2bl w:val="nil"/>
            </w:tcBorders>
            <w:vAlign w:val="bottom"/>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表单唯一性约束，支持通过拖拽，无需写任何一个代码，即可实现单个字段的唯一性约束和多个字段组合的唯一性约束；</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restart"/>
            <w:tcBorders>
              <w:tl2br w:val="nil"/>
              <w:tr2bl w:val="nil"/>
            </w:tcBorders>
            <w:vAlign w:val="center"/>
          </w:tcPr>
          <w:p>
            <w:pPr>
              <w:keepNext w:val="0"/>
              <w:keepLines w:val="0"/>
              <w:numPr>
                <w:ilvl w:val="0"/>
                <w:numId w:val="16"/>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1"/>
                <w:szCs w:val="21"/>
                <w:lang w:val="en-US" w:eastAsia="zh-CN"/>
              </w:rPr>
            </w:pPr>
          </w:p>
        </w:tc>
        <w:tc>
          <w:tcPr>
            <w:tcW w:w="688" w:type="dxa"/>
            <w:vMerge w:val="restart"/>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自定义表单</w:t>
            </w: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基于金山wps助手自定义表单</w:t>
            </w: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为了满足本项目的特定需求，</w:t>
            </w:r>
            <w:r>
              <w:rPr>
                <w:rFonts w:hint="eastAsia" w:ascii="宋体" w:hAnsi="宋体" w:eastAsia="宋体" w:cs="宋体"/>
                <w:color w:val="auto"/>
                <w:sz w:val="21"/>
                <w:szCs w:val="21"/>
                <w:lang w:eastAsia="zh-CN"/>
              </w:rPr>
              <w:t>我单位</w:t>
            </w:r>
            <w:r>
              <w:rPr>
                <w:rFonts w:hint="eastAsia" w:ascii="宋体" w:hAnsi="宋体" w:eastAsia="宋体" w:cs="宋体"/>
                <w:color w:val="auto"/>
                <w:sz w:val="21"/>
                <w:szCs w:val="21"/>
              </w:rPr>
              <w:t>需要基于金山WPS</w:t>
            </w:r>
            <w:r>
              <w:rPr>
                <w:rFonts w:hint="eastAsia" w:ascii="宋体" w:hAnsi="宋体" w:eastAsia="宋体" w:cs="宋体"/>
                <w:color w:val="auto"/>
                <w:sz w:val="21"/>
                <w:szCs w:val="21"/>
                <w:lang w:eastAsia="zh-CN"/>
              </w:rPr>
              <w:t>助手</w:t>
            </w:r>
            <w:r>
              <w:rPr>
                <w:rFonts w:hint="eastAsia" w:ascii="宋体" w:hAnsi="宋体" w:eastAsia="宋体" w:cs="宋体"/>
                <w:color w:val="auto"/>
                <w:sz w:val="21"/>
                <w:szCs w:val="21"/>
              </w:rPr>
              <w:t>工具进行表单的自定义。这要求能够在金山WPS</w:t>
            </w:r>
            <w:r>
              <w:rPr>
                <w:rFonts w:hint="eastAsia" w:ascii="宋体" w:hAnsi="宋体" w:eastAsia="宋体" w:cs="宋体"/>
                <w:color w:val="auto"/>
                <w:sz w:val="21"/>
                <w:szCs w:val="21"/>
                <w:lang w:eastAsia="zh-CN"/>
              </w:rPr>
              <w:t>助手</w:t>
            </w:r>
            <w:r>
              <w:rPr>
                <w:rFonts w:hint="eastAsia" w:ascii="宋体" w:hAnsi="宋体" w:eastAsia="宋体" w:cs="宋体"/>
                <w:color w:val="auto"/>
                <w:sz w:val="21"/>
                <w:szCs w:val="21"/>
              </w:rPr>
              <w:t>界面中通过自由拖拉拽的方式灵活设计表单，确保用户可以根据实际需求自由构建表单布局和字段。</w:t>
            </w:r>
          </w:p>
          <w:p>
            <w:pPr>
              <w:keepNext w:val="0"/>
              <w:keepLines w:val="0"/>
              <w:numPr>
                <w:ilvl w:val="0"/>
                <w:numId w:val="18"/>
              </w:numPr>
              <w:suppressLineNumbers w:val="0"/>
              <w:tabs>
                <w:tab w:val="left" w:pos="0"/>
              </w:tabs>
              <w:spacing w:before="0" w:beforeAutospacing="0" w:after="0" w:afterAutospacing="0" w:line="440" w:lineRule="exact"/>
              <w:ind w:left="274" w:leftChars="0" w:right="0" w:hanging="274"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在金山</w:t>
            </w:r>
            <w:r>
              <w:rPr>
                <w:rFonts w:hint="eastAsia" w:ascii="宋体" w:hAnsi="宋体" w:eastAsia="宋体" w:cs="宋体"/>
                <w:color w:val="auto"/>
                <w:sz w:val="21"/>
                <w:szCs w:val="21"/>
                <w:lang w:val="en-US" w:eastAsia="zh-CN"/>
              </w:rPr>
              <w:t>WPS助手</w:t>
            </w:r>
            <w:r>
              <w:rPr>
                <w:rFonts w:hint="eastAsia" w:ascii="宋体" w:hAnsi="宋体" w:eastAsia="宋体" w:cs="宋体"/>
                <w:color w:val="auto"/>
                <w:sz w:val="21"/>
                <w:szCs w:val="21"/>
                <w:lang w:eastAsia="zh-CN"/>
              </w:rPr>
              <w:t>完成表单自定义后，系统应能够支持将自定义表单直接保存到远程OA系统中，实现</w:t>
            </w:r>
            <w:r>
              <w:rPr>
                <w:rFonts w:hint="eastAsia" w:ascii="宋体" w:hAnsi="宋体" w:eastAsia="宋体" w:cs="宋体"/>
                <w:color w:val="auto"/>
                <w:sz w:val="21"/>
                <w:szCs w:val="21"/>
                <w:lang w:val="en-US" w:eastAsia="zh-CN"/>
              </w:rPr>
              <w:t>OA系统</w:t>
            </w:r>
            <w:r>
              <w:rPr>
                <w:rFonts w:hint="eastAsia" w:ascii="宋体" w:hAnsi="宋体" w:eastAsia="宋体" w:cs="宋体"/>
                <w:color w:val="auto"/>
                <w:sz w:val="21"/>
                <w:szCs w:val="21"/>
                <w:lang w:eastAsia="zh-CN"/>
              </w:rPr>
              <w:t>表单能在金山</w:t>
            </w:r>
            <w:r>
              <w:rPr>
                <w:rFonts w:hint="eastAsia" w:ascii="宋体" w:hAnsi="宋体" w:eastAsia="宋体" w:cs="宋体"/>
                <w:color w:val="auto"/>
                <w:sz w:val="21"/>
                <w:szCs w:val="21"/>
                <w:lang w:val="en-US" w:eastAsia="zh-CN"/>
              </w:rPr>
              <w:t>WPS中快速制作</w:t>
            </w:r>
            <w:r>
              <w:rPr>
                <w:rFonts w:hint="eastAsia" w:ascii="宋体" w:hAnsi="宋体" w:eastAsia="宋体" w:cs="宋体"/>
                <w:color w:val="auto"/>
                <w:sz w:val="21"/>
                <w:szCs w:val="21"/>
                <w:lang w:eastAsia="zh-CN"/>
              </w:rPr>
              <w:t>。</w:t>
            </w:r>
          </w:p>
          <w:p>
            <w:pPr>
              <w:keepNext w:val="0"/>
              <w:keepLines w:val="0"/>
              <w:numPr>
                <w:ilvl w:val="0"/>
                <w:numId w:val="18"/>
              </w:numPr>
              <w:suppressLineNumbers w:val="0"/>
              <w:tabs>
                <w:tab w:val="left" w:pos="0"/>
              </w:tabs>
              <w:spacing w:before="0" w:beforeAutospacing="0" w:after="0" w:afterAutospacing="0" w:line="440" w:lineRule="exact"/>
              <w:ind w:left="274" w:leftChars="0" w:right="0" w:hanging="274"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请投标人在准备响应文件时，确保所提供的解决方案能够满足上述需求，并在实际部署中提供必要的技术支持和培训，以确保系统的顺利运行和用户的高效使用</w:t>
            </w:r>
            <w:r>
              <w:rPr>
                <w:rFonts w:hint="eastAsia" w:ascii="宋体" w:hAnsi="宋体" w:eastAsia="宋体" w:cs="宋体"/>
                <w:color w:val="auto"/>
                <w:sz w:val="21"/>
                <w:szCs w:val="21"/>
                <w:lang w:val="en-US" w:eastAsia="zh-CN"/>
              </w:rPr>
              <w:t>。</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688" w:type="dxa"/>
            <w:vMerge w:val="continue"/>
            <w:tcBorders>
              <w:tl2br w:val="nil"/>
              <w:tr2bl w:val="nil"/>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p>
        </w:tc>
        <w:tc>
          <w:tcPr>
            <w:tcW w:w="1325" w:type="dxa"/>
            <w:tcBorders>
              <w:tl2br w:val="nil"/>
              <w:tr2bl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自定义流程</w:t>
            </w:r>
          </w:p>
        </w:tc>
        <w:tc>
          <w:tcPr>
            <w:tcW w:w="5400" w:type="dxa"/>
            <w:tcBorders>
              <w:tl2br w:val="nil"/>
              <w:tr2bl w:val="nil"/>
            </w:tcBorders>
            <w:vAlign w:val="center"/>
          </w:tcPr>
          <w:p>
            <w:pPr>
              <w:keepNext w:val="0"/>
              <w:keepLines w:val="0"/>
              <w:numPr>
                <w:ilvl w:val="0"/>
                <w:numId w:val="0"/>
              </w:numPr>
              <w:suppressLineNumbers w:val="0"/>
              <w:tabs>
                <w:tab w:val="left" w:pos="0"/>
              </w:tabs>
              <w:spacing w:before="0" w:beforeAutospacing="0" w:after="0" w:afterAutospacing="0" w:line="440" w:lineRule="exact"/>
              <w:ind w:left="15"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为了满足本项目的特定需求，我们需要基于金山WPS</w:t>
            </w:r>
            <w:r>
              <w:rPr>
                <w:rFonts w:hint="eastAsia" w:ascii="宋体" w:hAnsi="宋体" w:eastAsia="宋体" w:cs="宋体"/>
                <w:color w:val="auto"/>
                <w:sz w:val="21"/>
                <w:szCs w:val="21"/>
                <w:lang w:eastAsia="zh-CN"/>
              </w:rPr>
              <w:t>助手</w:t>
            </w:r>
            <w:r>
              <w:rPr>
                <w:rFonts w:hint="eastAsia" w:ascii="宋体" w:hAnsi="宋体" w:eastAsia="宋体" w:cs="宋体"/>
                <w:color w:val="auto"/>
                <w:sz w:val="21"/>
                <w:szCs w:val="21"/>
              </w:rPr>
              <w:t>工具进行</w:t>
            </w:r>
            <w:r>
              <w:rPr>
                <w:rFonts w:hint="eastAsia" w:ascii="宋体" w:hAnsi="宋体" w:eastAsia="宋体" w:cs="宋体"/>
                <w:color w:val="auto"/>
                <w:sz w:val="21"/>
                <w:szCs w:val="21"/>
                <w:lang w:eastAsia="zh-CN"/>
              </w:rPr>
              <w:t>流程</w:t>
            </w:r>
            <w:r>
              <w:rPr>
                <w:rFonts w:hint="eastAsia" w:ascii="宋体" w:hAnsi="宋体" w:eastAsia="宋体" w:cs="宋体"/>
                <w:color w:val="auto"/>
                <w:sz w:val="21"/>
                <w:szCs w:val="21"/>
              </w:rPr>
              <w:t>的自定义。这要求能够在金山WPS</w:t>
            </w:r>
            <w:r>
              <w:rPr>
                <w:rFonts w:hint="eastAsia" w:ascii="宋体" w:hAnsi="宋体" w:eastAsia="宋体" w:cs="宋体"/>
                <w:color w:val="auto"/>
                <w:sz w:val="21"/>
                <w:szCs w:val="21"/>
                <w:lang w:eastAsia="zh-CN"/>
              </w:rPr>
              <w:t>助手</w:t>
            </w:r>
            <w:r>
              <w:rPr>
                <w:rFonts w:hint="eastAsia" w:ascii="宋体" w:hAnsi="宋体" w:eastAsia="宋体" w:cs="宋体"/>
                <w:color w:val="auto"/>
                <w:sz w:val="21"/>
                <w:szCs w:val="21"/>
              </w:rPr>
              <w:t>界面中通过自由拖拉拽的方式灵活设计</w:t>
            </w:r>
            <w:r>
              <w:rPr>
                <w:rFonts w:hint="eastAsia" w:ascii="宋体" w:hAnsi="宋体" w:eastAsia="宋体" w:cs="宋体"/>
                <w:color w:val="auto"/>
                <w:sz w:val="21"/>
                <w:szCs w:val="21"/>
                <w:lang w:eastAsia="zh-CN"/>
              </w:rPr>
              <w:t>制作审批流程</w:t>
            </w:r>
            <w:r>
              <w:rPr>
                <w:rFonts w:hint="eastAsia" w:ascii="宋体" w:hAnsi="宋体" w:eastAsia="宋体" w:cs="宋体"/>
                <w:color w:val="auto"/>
                <w:sz w:val="21"/>
                <w:szCs w:val="21"/>
              </w:rPr>
              <w:t>，确保用户可以根据实际需求自由构建</w:t>
            </w:r>
            <w:r>
              <w:rPr>
                <w:rFonts w:hint="eastAsia" w:ascii="宋体" w:hAnsi="宋体" w:eastAsia="宋体" w:cs="宋体"/>
                <w:color w:val="auto"/>
                <w:sz w:val="21"/>
                <w:szCs w:val="21"/>
                <w:lang w:eastAsia="zh-CN"/>
              </w:rPr>
              <w:t>审批流程，包括审批活动步骤或线上条件的设计等，都完全基于</w:t>
            </w:r>
            <w:r>
              <w:rPr>
                <w:rFonts w:hint="eastAsia" w:ascii="宋体" w:hAnsi="宋体" w:eastAsia="宋体" w:cs="宋体"/>
                <w:color w:val="auto"/>
                <w:sz w:val="21"/>
                <w:szCs w:val="21"/>
              </w:rPr>
              <w:t>金山WPS</w:t>
            </w:r>
            <w:r>
              <w:rPr>
                <w:rFonts w:hint="eastAsia" w:ascii="宋体" w:hAnsi="宋体" w:eastAsia="宋体" w:cs="宋体"/>
                <w:color w:val="auto"/>
                <w:sz w:val="21"/>
                <w:szCs w:val="21"/>
                <w:lang w:eastAsia="zh-CN"/>
              </w:rPr>
              <w:t>助手完成工作</w:t>
            </w:r>
            <w:r>
              <w:rPr>
                <w:rFonts w:hint="eastAsia" w:ascii="宋体" w:hAnsi="宋体" w:eastAsia="宋体" w:cs="宋体"/>
                <w:color w:val="auto"/>
                <w:sz w:val="21"/>
                <w:szCs w:val="21"/>
              </w:rPr>
              <w:t>。</w:t>
            </w:r>
          </w:p>
          <w:p>
            <w:pPr>
              <w:keepNext w:val="0"/>
              <w:keepLines w:val="0"/>
              <w:numPr>
                <w:ilvl w:val="0"/>
                <w:numId w:val="19"/>
              </w:numPr>
              <w:suppressLineNumbers w:val="0"/>
              <w:tabs>
                <w:tab w:val="left" w:pos="0"/>
              </w:tabs>
              <w:spacing w:before="0" w:beforeAutospacing="0" w:after="0" w:afterAutospacing="0" w:line="440" w:lineRule="exact"/>
              <w:ind w:left="274" w:leftChars="0" w:right="0" w:hanging="274"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在金山</w:t>
            </w:r>
            <w:r>
              <w:rPr>
                <w:rFonts w:hint="eastAsia" w:ascii="宋体" w:hAnsi="宋体" w:eastAsia="宋体" w:cs="宋体"/>
                <w:color w:val="auto"/>
                <w:sz w:val="21"/>
                <w:szCs w:val="21"/>
                <w:lang w:val="en-US" w:eastAsia="zh-CN"/>
              </w:rPr>
              <w:t>WPS助手</w:t>
            </w:r>
            <w:r>
              <w:rPr>
                <w:rFonts w:hint="eastAsia" w:ascii="宋体" w:hAnsi="宋体" w:eastAsia="宋体" w:cs="宋体"/>
                <w:color w:val="auto"/>
                <w:sz w:val="21"/>
                <w:szCs w:val="21"/>
                <w:lang w:eastAsia="zh-CN"/>
              </w:rPr>
              <w:t>完成审批流程自定义后，系统应能够支持将自定义审批流程直接保存到远程OA系统中，实现</w:t>
            </w:r>
            <w:r>
              <w:rPr>
                <w:rFonts w:hint="eastAsia" w:ascii="宋体" w:hAnsi="宋体" w:eastAsia="宋体" w:cs="宋体"/>
                <w:color w:val="auto"/>
                <w:sz w:val="21"/>
                <w:szCs w:val="21"/>
                <w:lang w:val="en-US" w:eastAsia="zh-CN"/>
              </w:rPr>
              <w:t>OA系统</w:t>
            </w:r>
            <w:r>
              <w:rPr>
                <w:rFonts w:hint="eastAsia" w:ascii="宋体" w:hAnsi="宋体" w:eastAsia="宋体" w:cs="宋体"/>
                <w:color w:val="auto"/>
                <w:sz w:val="21"/>
                <w:szCs w:val="21"/>
                <w:lang w:eastAsia="zh-CN"/>
              </w:rPr>
              <w:t>审批流程能在金山</w:t>
            </w:r>
            <w:r>
              <w:rPr>
                <w:rFonts w:hint="eastAsia" w:ascii="宋体" w:hAnsi="宋体" w:eastAsia="宋体" w:cs="宋体"/>
                <w:color w:val="auto"/>
                <w:sz w:val="21"/>
                <w:szCs w:val="21"/>
                <w:lang w:val="en-US" w:eastAsia="zh-CN"/>
              </w:rPr>
              <w:t>WPS中快速制作</w:t>
            </w:r>
            <w:r>
              <w:rPr>
                <w:rFonts w:hint="eastAsia" w:ascii="宋体" w:hAnsi="宋体" w:eastAsia="宋体" w:cs="宋体"/>
                <w:color w:val="auto"/>
                <w:sz w:val="21"/>
                <w:szCs w:val="21"/>
                <w:lang w:eastAsia="zh-CN"/>
              </w:rPr>
              <w:t>。</w:t>
            </w:r>
          </w:p>
          <w:p>
            <w:pPr>
              <w:keepNext w:val="0"/>
              <w:keepLines w:val="0"/>
              <w:numPr>
                <w:ilvl w:val="0"/>
                <w:numId w:val="19"/>
              </w:numPr>
              <w:suppressLineNumbers w:val="0"/>
              <w:tabs>
                <w:tab w:val="left" w:pos="0"/>
              </w:tabs>
              <w:spacing w:before="0" w:beforeAutospacing="0" w:after="0" w:afterAutospacing="0" w:line="440" w:lineRule="exact"/>
              <w:ind w:left="274" w:leftChars="0" w:right="0" w:hanging="274" w:firstLineChars="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请投标人在准备响应文件时，确保所提供的解决方案能够满足上述需求，并在实际部署中提供必要的技术支持和培训，以确保系统的顺利运行和用户的高效使用</w:t>
            </w:r>
            <w:r>
              <w:rPr>
                <w:rFonts w:hint="eastAsia" w:ascii="宋体" w:hAnsi="宋体" w:eastAsia="宋体" w:cs="宋体"/>
                <w:color w:val="auto"/>
                <w:sz w:val="21"/>
                <w:szCs w:val="21"/>
                <w:lang w:val="en-US" w:eastAsia="zh-CN"/>
              </w:rPr>
              <w:t>。</w:t>
            </w:r>
          </w:p>
        </w:tc>
        <w:tc>
          <w:tcPr>
            <w:tcW w:w="1071" w:type="dxa"/>
            <w:tcBorders>
              <w:tl2br w:val="nil"/>
              <w:tr2bl w:val="nil"/>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需要满足</w:t>
            </w:r>
          </w:p>
        </w:tc>
      </w:tr>
    </w:tbl>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57493"/>
    <w:multiLevelType w:val="singleLevel"/>
    <w:tmpl w:val="89257493"/>
    <w:lvl w:ilvl="0" w:tentative="0">
      <w:start w:val="1"/>
      <w:numFmt w:val="decimal"/>
      <w:lvlText w:val="%1."/>
      <w:lvlJc w:val="left"/>
      <w:pPr>
        <w:tabs>
          <w:tab w:val="left" w:pos="420"/>
        </w:tabs>
        <w:ind w:left="845" w:hanging="425"/>
      </w:pPr>
      <w:rPr>
        <w:rFonts w:hint="default"/>
      </w:rPr>
    </w:lvl>
  </w:abstractNum>
  <w:abstractNum w:abstractNumId="1">
    <w:nsid w:val="A2BF9039"/>
    <w:multiLevelType w:val="singleLevel"/>
    <w:tmpl w:val="A2BF9039"/>
    <w:lvl w:ilvl="0" w:tentative="0">
      <w:start w:val="1"/>
      <w:numFmt w:val="chineseCounting"/>
      <w:suff w:val="nothing"/>
      <w:lvlText w:val="%1、"/>
      <w:lvlJc w:val="left"/>
      <w:pPr>
        <w:ind w:left="0" w:firstLine="420"/>
      </w:pPr>
      <w:rPr>
        <w:rFonts w:hint="eastAsia" w:ascii="黑体" w:hAnsi="黑体" w:eastAsia="黑体" w:cs="黑体"/>
        <w:b/>
        <w:bCs/>
      </w:rPr>
    </w:lvl>
  </w:abstractNum>
  <w:abstractNum w:abstractNumId="2">
    <w:nsid w:val="A31B22CE"/>
    <w:multiLevelType w:val="singleLevel"/>
    <w:tmpl w:val="A31B22CE"/>
    <w:lvl w:ilvl="0" w:tentative="0">
      <w:start w:val="1"/>
      <w:numFmt w:val="decimal"/>
      <w:lvlText w:val="%1)"/>
      <w:lvlJc w:val="left"/>
      <w:pPr>
        <w:tabs>
          <w:tab w:val="left" w:pos="416"/>
        </w:tabs>
        <w:ind w:left="433" w:leftChars="0" w:hanging="263" w:firstLineChars="0"/>
      </w:pPr>
      <w:rPr>
        <w:rFonts w:hint="default"/>
      </w:rPr>
    </w:lvl>
  </w:abstractNum>
  <w:abstractNum w:abstractNumId="3">
    <w:nsid w:val="AA824DBA"/>
    <w:multiLevelType w:val="singleLevel"/>
    <w:tmpl w:val="AA824DBA"/>
    <w:lvl w:ilvl="0" w:tentative="0">
      <w:start w:val="1"/>
      <w:numFmt w:val="decimal"/>
      <w:lvlText w:val="%1)"/>
      <w:lvlJc w:val="left"/>
      <w:pPr>
        <w:tabs>
          <w:tab w:val="left" w:pos="274"/>
        </w:tabs>
        <w:ind w:left="274" w:leftChars="0" w:hanging="274" w:firstLineChars="0"/>
      </w:pPr>
      <w:rPr>
        <w:rFonts w:hint="default"/>
      </w:rPr>
    </w:lvl>
  </w:abstractNum>
  <w:abstractNum w:abstractNumId="4">
    <w:nsid w:val="B64B2204"/>
    <w:multiLevelType w:val="singleLevel"/>
    <w:tmpl w:val="B64B2204"/>
    <w:lvl w:ilvl="0" w:tentative="0">
      <w:start w:val="1"/>
      <w:numFmt w:val="decimal"/>
      <w:lvlText w:val="%1."/>
      <w:lvlJc w:val="left"/>
      <w:pPr>
        <w:tabs>
          <w:tab w:val="left" w:pos="420"/>
        </w:tabs>
        <w:ind w:left="845" w:hanging="425"/>
      </w:pPr>
      <w:rPr>
        <w:rFonts w:hint="default"/>
      </w:rPr>
    </w:lvl>
  </w:abstractNum>
  <w:abstractNum w:abstractNumId="5">
    <w:nsid w:val="BB4BC1C8"/>
    <w:multiLevelType w:val="singleLevel"/>
    <w:tmpl w:val="BB4BC1C8"/>
    <w:lvl w:ilvl="0" w:tentative="0">
      <w:start w:val="1"/>
      <w:numFmt w:val="decimal"/>
      <w:lvlText w:val="%1."/>
      <w:lvlJc w:val="left"/>
      <w:pPr>
        <w:ind w:left="425" w:hanging="425"/>
      </w:pPr>
      <w:rPr>
        <w:rFonts w:hint="default"/>
      </w:rPr>
    </w:lvl>
  </w:abstractNum>
  <w:abstractNum w:abstractNumId="6">
    <w:nsid w:val="C0268A5F"/>
    <w:multiLevelType w:val="singleLevel"/>
    <w:tmpl w:val="C0268A5F"/>
    <w:lvl w:ilvl="0" w:tentative="0">
      <w:start w:val="1"/>
      <w:numFmt w:val="decimal"/>
      <w:lvlText w:val="%1."/>
      <w:lvlJc w:val="left"/>
      <w:pPr>
        <w:tabs>
          <w:tab w:val="left" w:pos="420"/>
        </w:tabs>
        <w:ind w:left="845" w:hanging="425"/>
      </w:pPr>
      <w:rPr>
        <w:rFonts w:hint="default"/>
      </w:rPr>
    </w:lvl>
  </w:abstractNum>
  <w:abstractNum w:abstractNumId="7">
    <w:nsid w:val="C0F56E0F"/>
    <w:multiLevelType w:val="singleLevel"/>
    <w:tmpl w:val="C0F56E0F"/>
    <w:lvl w:ilvl="0" w:tentative="0">
      <w:start w:val="1"/>
      <w:numFmt w:val="decimal"/>
      <w:lvlText w:val="%1."/>
      <w:lvlJc w:val="left"/>
      <w:pPr>
        <w:tabs>
          <w:tab w:val="left" w:pos="420"/>
        </w:tabs>
        <w:ind w:left="845" w:hanging="425"/>
      </w:pPr>
      <w:rPr>
        <w:rFonts w:hint="default"/>
      </w:rPr>
    </w:lvl>
  </w:abstractNum>
  <w:abstractNum w:abstractNumId="8">
    <w:nsid w:val="C2A24450"/>
    <w:multiLevelType w:val="multilevel"/>
    <w:tmpl w:val="C2A24450"/>
    <w:lvl w:ilvl="0" w:tentative="0">
      <w:start w:val="1"/>
      <w:numFmt w:val="decimal"/>
      <w:lvlText w:val="%1、"/>
      <w:lvlJc w:val="left"/>
      <w:pPr>
        <w:tabs>
          <w:tab w:val="left" w:pos="675"/>
        </w:tabs>
        <w:ind w:left="675" w:hanging="6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CA49BF0B"/>
    <w:multiLevelType w:val="singleLevel"/>
    <w:tmpl w:val="CA49BF0B"/>
    <w:lvl w:ilvl="0" w:tentative="0">
      <w:start w:val="1"/>
      <w:numFmt w:val="decimal"/>
      <w:lvlText w:val="%1."/>
      <w:lvlJc w:val="left"/>
      <w:pPr>
        <w:tabs>
          <w:tab w:val="left" w:pos="420"/>
        </w:tabs>
        <w:ind w:left="845" w:hanging="425"/>
      </w:pPr>
      <w:rPr>
        <w:rFonts w:hint="default"/>
      </w:rPr>
    </w:lvl>
  </w:abstractNum>
  <w:abstractNum w:abstractNumId="10">
    <w:nsid w:val="F0C670EB"/>
    <w:multiLevelType w:val="multilevel"/>
    <w:tmpl w:val="F0C670EB"/>
    <w:lvl w:ilvl="0" w:tentative="0">
      <w:start w:val="1"/>
      <w:numFmt w:val="decimal"/>
      <w:lvlText w:val="%1."/>
      <w:lvlJc w:val="left"/>
      <w:pPr>
        <w:tabs>
          <w:tab w:val="left" w:pos="459"/>
        </w:tabs>
        <w:ind w:left="738" w:leftChars="0" w:hanging="280" w:firstLineChars="0"/>
      </w:pPr>
      <w:rPr>
        <w:rFonts w:hint="default"/>
      </w:rPr>
    </w:lvl>
    <w:lvl w:ilvl="1" w:tentative="0">
      <w:start w:val="1"/>
      <w:numFmt w:val="decimal"/>
      <w:lvlText w:val="(%2)"/>
      <w:lvlJc w:val="left"/>
      <w:pPr>
        <w:tabs>
          <w:tab w:val="left" w:pos="840"/>
        </w:tabs>
        <w:ind w:left="1298" w:leftChars="0" w:hanging="420" w:firstLineChars="0"/>
      </w:pPr>
      <w:rPr>
        <w:rFonts w:hint="default"/>
      </w:rPr>
    </w:lvl>
    <w:lvl w:ilvl="2" w:tentative="0">
      <w:start w:val="1"/>
      <w:numFmt w:val="decimalEnclosedCircleChinese"/>
      <w:lvlText w:val="%3"/>
      <w:lvlJc w:val="left"/>
      <w:pPr>
        <w:tabs>
          <w:tab w:val="left" w:pos="1260"/>
        </w:tabs>
        <w:ind w:left="1718" w:leftChars="0" w:hanging="420" w:firstLineChars="0"/>
      </w:pPr>
      <w:rPr>
        <w:rFonts w:hint="default"/>
      </w:rPr>
    </w:lvl>
    <w:lvl w:ilvl="3" w:tentative="0">
      <w:start w:val="1"/>
      <w:numFmt w:val="decimal"/>
      <w:lvlText w:val="%4)"/>
      <w:lvlJc w:val="left"/>
      <w:pPr>
        <w:tabs>
          <w:tab w:val="left" w:pos="1680"/>
        </w:tabs>
        <w:ind w:left="2138" w:leftChars="0" w:hanging="420" w:firstLineChars="0"/>
      </w:pPr>
      <w:rPr>
        <w:rFonts w:hint="default"/>
      </w:rPr>
    </w:lvl>
    <w:lvl w:ilvl="4" w:tentative="0">
      <w:start w:val="1"/>
      <w:numFmt w:val="lowerLetter"/>
      <w:lvlText w:val="%5."/>
      <w:lvlJc w:val="left"/>
      <w:pPr>
        <w:tabs>
          <w:tab w:val="left" w:pos="2100"/>
        </w:tabs>
        <w:ind w:left="2558" w:leftChars="0" w:hanging="420" w:firstLineChars="0"/>
      </w:pPr>
      <w:rPr>
        <w:rFonts w:hint="default"/>
      </w:rPr>
    </w:lvl>
    <w:lvl w:ilvl="5" w:tentative="0">
      <w:start w:val="1"/>
      <w:numFmt w:val="lowerLetter"/>
      <w:lvlText w:val="%6)"/>
      <w:lvlJc w:val="left"/>
      <w:pPr>
        <w:tabs>
          <w:tab w:val="left" w:pos="2520"/>
        </w:tabs>
        <w:ind w:left="2978" w:leftChars="0" w:hanging="420" w:firstLineChars="0"/>
      </w:pPr>
      <w:rPr>
        <w:rFonts w:hint="default"/>
      </w:rPr>
    </w:lvl>
    <w:lvl w:ilvl="6" w:tentative="0">
      <w:start w:val="1"/>
      <w:numFmt w:val="lowerRoman"/>
      <w:lvlText w:val="%7."/>
      <w:lvlJc w:val="left"/>
      <w:pPr>
        <w:tabs>
          <w:tab w:val="left" w:pos="2940"/>
        </w:tabs>
        <w:ind w:left="3398" w:leftChars="0" w:hanging="420" w:firstLineChars="0"/>
      </w:pPr>
      <w:rPr>
        <w:rFonts w:hint="default"/>
      </w:rPr>
    </w:lvl>
    <w:lvl w:ilvl="7" w:tentative="0">
      <w:start w:val="1"/>
      <w:numFmt w:val="lowerRoman"/>
      <w:lvlText w:val="%8)"/>
      <w:lvlJc w:val="left"/>
      <w:pPr>
        <w:tabs>
          <w:tab w:val="left" w:pos="3360"/>
        </w:tabs>
        <w:ind w:left="3818" w:leftChars="0" w:hanging="420" w:firstLineChars="0"/>
      </w:pPr>
      <w:rPr>
        <w:rFonts w:hint="default"/>
      </w:rPr>
    </w:lvl>
    <w:lvl w:ilvl="8" w:tentative="0">
      <w:start w:val="1"/>
      <w:numFmt w:val="lowerLetter"/>
      <w:lvlText w:val="%9."/>
      <w:lvlJc w:val="left"/>
      <w:pPr>
        <w:tabs>
          <w:tab w:val="left" w:pos="3780"/>
        </w:tabs>
        <w:ind w:left="4238" w:leftChars="0" w:hanging="420" w:firstLineChars="0"/>
      </w:pPr>
      <w:rPr>
        <w:rFonts w:hint="default"/>
      </w:rPr>
    </w:lvl>
  </w:abstractNum>
  <w:abstractNum w:abstractNumId="11">
    <w:nsid w:val="048FA7E5"/>
    <w:multiLevelType w:val="singleLevel"/>
    <w:tmpl w:val="048FA7E5"/>
    <w:lvl w:ilvl="0" w:tentative="0">
      <w:start w:val="1"/>
      <w:numFmt w:val="decimal"/>
      <w:lvlText w:val="%1."/>
      <w:lvlJc w:val="left"/>
      <w:pPr>
        <w:tabs>
          <w:tab w:val="left" w:pos="420"/>
        </w:tabs>
        <w:ind w:left="845" w:hanging="425"/>
      </w:pPr>
      <w:rPr>
        <w:rFonts w:hint="default"/>
      </w:rPr>
    </w:lvl>
  </w:abstractNum>
  <w:abstractNum w:abstractNumId="12">
    <w:nsid w:val="0F844D7D"/>
    <w:multiLevelType w:val="multilevel"/>
    <w:tmpl w:val="0F844D7D"/>
    <w:lvl w:ilvl="0" w:tentative="0">
      <w:start w:val="1"/>
      <w:numFmt w:val="decimal"/>
      <w:lvlText w:val="%1、"/>
      <w:lvlJc w:val="left"/>
      <w:pPr>
        <w:ind w:left="432" w:hanging="432"/>
      </w:pPr>
      <w:rPr>
        <w:rFonts w:hint="default" w:ascii="微软雅黑" w:hAnsi="微软雅黑" w:eastAsia="微软雅黑" w:cs="微软雅黑"/>
      </w:rPr>
    </w:lvl>
    <w:lvl w:ilvl="1" w:tentative="0">
      <w:start w:val="1"/>
      <w:numFmt w:val="decimal"/>
      <w:pStyle w:val="2"/>
      <w:lvlText w:val="%1.%2、"/>
      <w:lvlJc w:val="left"/>
      <w:pPr>
        <w:ind w:left="575" w:hanging="575"/>
      </w:pPr>
      <w:rPr>
        <w:rFonts w:hint="default" w:ascii="微软雅黑" w:hAnsi="微软雅黑" w:eastAsia="微软雅黑" w:cs="微软雅黑"/>
      </w:rPr>
    </w:lvl>
    <w:lvl w:ilvl="2" w:tentative="0">
      <w:start w:val="1"/>
      <w:numFmt w:val="decimal"/>
      <w:pStyle w:val="3"/>
      <w:lvlText w:val="%1.%2.%3、"/>
      <w:lvlJc w:val="left"/>
      <w:pPr>
        <w:ind w:left="720" w:hanging="720"/>
      </w:pPr>
      <w:rPr>
        <w:rFonts w:hint="default" w:ascii="微软雅黑" w:hAnsi="微软雅黑" w:eastAsia="微软雅黑" w:cs="微软雅黑"/>
      </w:rPr>
    </w:lvl>
    <w:lvl w:ilvl="3" w:tentative="0">
      <w:start w:val="1"/>
      <w:numFmt w:val="decimal"/>
      <w:lvlText w:val="%1.%2.%3.%4、"/>
      <w:lvlJc w:val="left"/>
      <w:pPr>
        <w:ind w:left="864" w:hanging="864"/>
      </w:pPr>
      <w:rPr>
        <w:rFonts w:hint="default" w:ascii="微软雅黑" w:hAnsi="微软雅黑" w:eastAsia="微软雅黑" w:cs="微软雅黑"/>
      </w:rPr>
    </w:lvl>
    <w:lvl w:ilvl="4" w:tentative="0">
      <w:start w:val="1"/>
      <w:numFmt w:val="decimal"/>
      <w:lvlText w:val="%1.%2.%3.%4.%5、"/>
      <w:lvlJc w:val="left"/>
      <w:pPr>
        <w:ind w:left="1008" w:hanging="1008"/>
      </w:pPr>
      <w:rPr>
        <w:rFonts w:hint="default" w:ascii="微软雅黑" w:hAnsi="微软雅黑" w:eastAsia="微软雅黑" w:cs="微软雅黑"/>
      </w:rPr>
    </w:lvl>
    <w:lvl w:ilvl="5" w:tentative="0">
      <w:start w:val="1"/>
      <w:numFmt w:val="decimal"/>
      <w:lvlText w:val="%1.%2.%3.%4.%5.%6、"/>
      <w:lvlJc w:val="left"/>
      <w:pPr>
        <w:ind w:left="1151" w:hanging="1151"/>
      </w:pPr>
      <w:rPr>
        <w:rFonts w:hint="default" w:ascii="微软雅黑" w:hAnsi="微软雅黑" w:eastAsia="微软雅黑" w:cs="微软雅黑"/>
      </w:rPr>
    </w:lvl>
    <w:lvl w:ilvl="6" w:tentative="0">
      <w:start w:val="1"/>
      <w:numFmt w:val="decimal"/>
      <w:lvlText w:val="%1.%2.%3.%4.%5.%6.%7、"/>
      <w:lvlJc w:val="left"/>
      <w:pPr>
        <w:ind w:left="1296" w:hanging="1296"/>
      </w:pPr>
      <w:rPr>
        <w:rFonts w:hint="default" w:ascii="微软雅黑" w:hAnsi="微软雅黑" w:eastAsia="微软雅黑" w:cs="微软雅黑"/>
      </w:rPr>
    </w:lvl>
    <w:lvl w:ilvl="7" w:tentative="0">
      <w:start w:val="1"/>
      <w:numFmt w:val="decimal"/>
      <w:lvlText w:val="%1.%2.%3.%4.%5.%6.%7.%8、"/>
      <w:lvlJc w:val="left"/>
      <w:pPr>
        <w:ind w:left="1440" w:hanging="1440"/>
      </w:pPr>
      <w:rPr>
        <w:rFonts w:hint="default" w:ascii="微软雅黑" w:hAnsi="微软雅黑" w:eastAsia="微软雅黑" w:cs="微软雅黑"/>
      </w:rPr>
    </w:lvl>
    <w:lvl w:ilvl="8" w:tentative="0">
      <w:start w:val="1"/>
      <w:numFmt w:val="decimal"/>
      <w:lvlText w:val="%1.%2.%3.%4.%5.%6.%7.%8.%9、"/>
      <w:lvlJc w:val="left"/>
      <w:pPr>
        <w:ind w:left="1583" w:hanging="1583"/>
      </w:pPr>
      <w:rPr>
        <w:rFonts w:hint="default" w:ascii="微软雅黑" w:hAnsi="微软雅黑" w:eastAsia="微软雅黑" w:cs="微软雅黑"/>
      </w:rPr>
    </w:lvl>
  </w:abstractNum>
  <w:abstractNum w:abstractNumId="13">
    <w:nsid w:val="235FC729"/>
    <w:multiLevelType w:val="singleLevel"/>
    <w:tmpl w:val="235FC729"/>
    <w:lvl w:ilvl="0" w:tentative="0">
      <w:start w:val="1"/>
      <w:numFmt w:val="decimal"/>
      <w:lvlText w:val="%1)"/>
      <w:lvlJc w:val="left"/>
      <w:pPr>
        <w:tabs>
          <w:tab w:val="left" w:pos="274"/>
        </w:tabs>
        <w:ind w:left="274" w:leftChars="0" w:hanging="274" w:firstLineChars="0"/>
      </w:pPr>
      <w:rPr>
        <w:rFonts w:hint="default"/>
      </w:rPr>
    </w:lvl>
  </w:abstractNum>
  <w:abstractNum w:abstractNumId="14">
    <w:nsid w:val="29BF12DB"/>
    <w:multiLevelType w:val="singleLevel"/>
    <w:tmpl w:val="29BF12DB"/>
    <w:lvl w:ilvl="0" w:tentative="0">
      <w:start w:val="1"/>
      <w:numFmt w:val="decimal"/>
      <w:lvlText w:val="%1."/>
      <w:lvlJc w:val="left"/>
      <w:pPr>
        <w:tabs>
          <w:tab w:val="left" w:pos="420"/>
        </w:tabs>
        <w:ind w:left="845" w:hanging="425"/>
      </w:pPr>
      <w:rPr>
        <w:rFonts w:hint="default"/>
      </w:rPr>
    </w:lvl>
  </w:abstractNum>
  <w:abstractNum w:abstractNumId="15">
    <w:nsid w:val="4A035A5A"/>
    <w:multiLevelType w:val="multilevel"/>
    <w:tmpl w:val="4A035A5A"/>
    <w:lvl w:ilvl="0" w:tentative="0">
      <w:start w:val="1"/>
      <w:numFmt w:val="decimal"/>
      <w:lvlText w:val="%1."/>
      <w:lvlJc w:val="left"/>
      <w:pPr>
        <w:tabs>
          <w:tab w:val="left" w:pos="420"/>
        </w:tabs>
        <w:ind w:left="845" w:hanging="425"/>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16">
    <w:nsid w:val="52399570"/>
    <w:multiLevelType w:val="singleLevel"/>
    <w:tmpl w:val="52399570"/>
    <w:lvl w:ilvl="0" w:tentative="0">
      <w:start w:val="1"/>
      <w:numFmt w:val="decimal"/>
      <w:lvlText w:val="%1."/>
      <w:lvlJc w:val="left"/>
      <w:pPr>
        <w:tabs>
          <w:tab w:val="left" w:pos="420"/>
        </w:tabs>
        <w:ind w:left="845" w:hanging="425"/>
      </w:pPr>
      <w:rPr>
        <w:rFonts w:hint="default"/>
      </w:rPr>
    </w:lvl>
  </w:abstractNum>
  <w:abstractNum w:abstractNumId="17">
    <w:nsid w:val="55D3BB2E"/>
    <w:multiLevelType w:val="singleLevel"/>
    <w:tmpl w:val="55D3BB2E"/>
    <w:lvl w:ilvl="0" w:tentative="0">
      <w:start w:val="1"/>
      <w:numFmt w:val="decimal"/>
      <w:lvlText w:val="%1)"/>
      <w:lvlJc w:val="left"/>
      <w:pPr>
        <w:tabs>
          <w:tab w:val="left" w:pos="274"/>
        </w:tabs>
        <w:ind w:left="274" w:leftChars="0" w:hanging="274" w:firstLineChars="0"/>
      </w:pPr>
      <w:rPr>
        <w:rFonts w:hint="default"/>
      </w:rPr>
    </w:lvl>
  </w:abstractNum>
  <w:abstractNum w:abstractNumId="18">
    <w:nsid w:val="5FE3AE13"/>
    <w:multiLevelType w:val="singleLevel"/>
    <w:tmpl w:val="5FE3AE13"/>
    <w:lvl w:ilvl="0" w:tentative="0">
      <w:start w:val="1"/>
      <w:numFmt w:val="decimal"/>
      <w:lvlText w:val="%1)"/>
      <w:lvlJc w:val="left"/>
      <w:pPr>
        <w:tabs>
          <w:tab w:val="left" w:pos="416"/>
        </w:tabs>
        <w:ind w:left="433" w:leftChars="0" w:hanging="263" w:firstLineChars="0"/>
      </w:pPr>
      <w:rPr>
        <w:rFonts w:hint="default"/>
      </w:rPr>
    </w:lvl>
  </w:abstractNum>
  <w:num w:numId="1">
    <w:abstractNumId w:val="12"/>
  </w:num>
  <w:num w:numId="2">
    <w:abstractNumId w:val="10"/>
  </w:num>
  <w:num w:numId="3">
    <w:abstractNumId w:val="0"/>
  </w:num>
  <w:num w:numId="4">
    <w:abstractNumId w:val="15"/>
  </w:num>
  <w:num w:numId="5">
    <w:abstractNumId w:val="14"/>
  </w:num>
  <w:num w:numId="6">
    <w:abstractNumId w:val="11"/>
  </w:num>
  <w:num w:numId="7">
    <w:abstractNumId w:val="7"/>
  </w:num>
  <w:num w:numId="8">
    <w:abstractNumId w:val="6"/>
  </w:num>
  <w:num w:numId="9">
    <w:abstractNumId w:val="4"/>
  </w:num>
  <w:num w:numId="10">
    <w:abstractNumId w:val="16"/>
  </w:num>
  <w:num w:numId="11">
    <w:abstractNumId w:val="9"/>
  </w:num>
  <w:num w:numId="12">
    <w:abstractNumId w:val="8"/>
  </w:num>
  <w:num w:numId="13">
    <w:abstractNumId w:val="2"/>
  </w:num>
  <w:num w:numId="14">
    <w:abstractNumId w:val="18"/>
  </w:num>
  <w:num w:numId="15">
    <w:abstractNumId w:val="1"/>
  </w:num>
  <w:num w:numId="16">
    <w:abstractNumId w:val="5"/>
  </w:num>
  <w:num w:numId="17">
    <w:abstractNumId w:val="13"/>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NDZjMTc3ZWUyNGIyMWJkZWFhMWViMjNmZDlhYzEifQ=="/>
  </w:docVars>
  <w:rsids>
    <w:rsidRoot w:val="68E12E40"/>
    <w:rsid w:val="01A53CCC"/>
    <w:rsid w:val="1DB418AE"/>
    <w:rsid w:val="68E12E40"/>
    <w:rsid w:val="721D1679"/>
    <w:rsid w:val="7F920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2"/>
      <w:sz w:val="24"/>
      <w:szCs w:val="28"/>
      <w:lang w:val="en-US" w:eastAsia="zh-CN" w:bidi="ar-SA"/>
    </w:rPr>
  </w:style>
  <w:style w:type="paragraph" w:styleId="2">
    <w:name w:val="heading 2"/>
    <w:basedOn w:val="1"/>
    <w:next w:val="1"/>
    <w:unhideWhenUsed/>
    <w:qFormat/>
    <w:uiPriority w:val="0"/>
    <w:pPr>
      <w:keepNext/>
      <w:keepLines/>
      <w:numPr>
        <w:ilvl w:val="1"/>
        <w:numId w:val="1"/>
      </w:numPr>
      <w:spacing w:before="100" w:after="100" w:line="360" w:lineRule="auto"/>
      <w:ind w:left="575" w:hanging="575"/>
      <w:outlineLvl w:val="1"/>
    </w:pPr>
    <w:rPr>
      <w:rFonts w:ascii="微软雅黑" w:hAnsi="微软雅黑" w:eastAsia="微软雅黑" w:cs="微软雅黑"/>
      <w:b/>
      <w:bCs/>
      <w:sz w:val="32"/>
      <w:szCs w:val="32"/>
    </w:rPr>
  </w:style>
  <w:style w:type="paragraph" w:styleId="3">
    <w:name w:val="heading 3"/>
    <w:basedOn w:val="1"/>
    <w:next w:val="1"/>
    <w:qFormat/>
    <w:uiPriority w:val="0"/>
    <w:pPr>
      <w:keepNext/>
      <w:keepLines/>
      <w:numPr>
        <w:ilvl w:val="2"/>
        <w:numId w:val="1"/>
      </w:numPr>
      <w:tabs>
        <w:tab w:val="left" w:pos="0"/>
      </w:tabs>
      <w:spacing w:before="50" w:beforeLines="50"/>
      <w:ind w:left="720" w:hanging="720"/>
      <w:outlineLvl w:val="2"/>
    </w:pPr>
    <w:rPr>
      <w:rFonts w:ascii="微软雅黑" w:hAnsi="微软雅黑" w:eastAsia="微软雅黑" w:cs="微软雅黑"/>
      <w:b/>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9624</Words>
  <Characters>9983</Characters>
  <Lines>0</Lines>
  <Paragraphs>0</Paragraphs>
  <TotalTime>1</TotalTime>
  <ScaleCrop>false</ScaleCrop>
  <LinksUpToDate>false</LinksUpToDate>
  <CharactersWithSpaces>10025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2025-12-02T01:01:00Z</dcterms:created>
  <dc:creator>徐阳洋</dc:creator>
  <cp:lastModifiedBy>徐阳洋</cp:lastModifiedBy>
  <dcterms:modified xsi:type="dcterms:W3CDTF">2025-12-02T07:32:01Z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AF90BE8718534D2086EA0FB655AA0DEF_11</vt:lpwstr>
  </property>
</Properties>
</file>