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4D34">
      <w:pPr>
        <w:pStyle w:val="2"/>
        <w:bidi w:val="0"/>
        <w:rPr>
          <w:rFonts w:hint="eastAsia" w:cs="Times New Roman"/>
          <w:lang w:eastAsia="zh-CN"/>
        </w:rPr>
      </w:pPr>
      <w:bookmarkStart w:id="0" w:name="_Toc15667"/>
      <w:r>
        <w:rPr>
          <w:rFonts w:hint="eastAsia" w:cs="Times New Roman"/>
          <w:lang w:eastAsia="zh-CN"/>
        </w:rPr>
        <w:t>项目基本信息</w:t>
      </w:r>
      <w:bookmarkEnd w:id="0"/>
    </w:p>
    <w:p w14:paraId="7B07557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38" w:leftChars="0" w:hanging="280" w:firstLineChars="0"/>
        <w:textAlignment w:val="auto"/>
        <w:rPr>
          <w:rFonts w:hint="eastAsia" w:cs="Times New Roman"/>
          <w:lang w:eastAsia="zh-CN"/>
        </w:rPr>
      </w:pPr>
      <w:r>
        <w:rPr>
          <w:rFonts w:hint="eastAsia" w:cs="Times New Roman"/>
          <w:lang w:eastAsia="zh-CN"/>
        </w:rPr>
        <w:t>项目建设单位：云南省第一人民医院</w:t>
      </w:r>
    </w:p>
    <w:p w14:paraId="7CDD5C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38" w:leftChars="0" w:hanging="280" w:firstLineChars="0"/>
        <w:textAlignment w:val="auto"/>
        <w:rPr>
          <w:rFonts w:hint="eastAsia" w:cs="Times New Roman"/>
          <w:lang w:eastAsia="zh-CN"/>
        </w:rPr>
      </w:pPr>
      <w:r>
        <w:rPr>
          <w:rFonts w:hint="eastAsia" w:cs="Times New Roman"/>
          <w:lang w:eastAsia="zh-CN"/>
        </w:rPr>
        <w:t>项目名称：云南省第一人民医院公立医院经济管理实训教学系统建设项目</w:t>
      </w:r>
    </w:p>
    <w:p w14:paraId="6E41901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38" w:leftChars="0" w:hanging="280" w:firstLineChars="0"/>
        <w:textAlignment w:val="auto"/>
      </w:pPr>
      <w:r>
        <w:rPr>
          <w:rFonts w:hint="eastAsia" w:cs="Times New Roman"/>
          <w:lang w:eastAsia="zh-CN"/>
        </w:rPr>
        <w:t>项目类型：建设类项目</w:t>
      </w:r>
    </w:p>
    <w:p w14:paraId="372FC10D">
      <w:pPr>
        <w:pStyle w:val="2"/>
        <w:bidi w:val="0"/>
        <w:rPr>
          <w:rFonts w:hint="eastAsia" w:cs="Times New Roman"/>
          <w:lang w:eastAsia="zh-CN"/>
        </w:rPr>
      </w:pPr>
      <w:bookmarkStart w:id="1" w:name="_Toc25422"/>
      <w:r>
        <w:rPr>
          <w:rFonts w:hint="eastAsia"/>
        </w:rPr>
        <w:t>总体建设</w:t>
      </w:r>
      <w:r>
        <w:rPr>
          <w:rFonts w:hint="eastAsia"/>
          <w:lang w:eastAsia="zh-CN"/>
        </w:rPr>
        <w:t>要求</w:t>
      </w:r>
      <w:bookmarkEnd w:id="1"/>
    </w:p>
    <w:p w14:paraId="42833FB0">
      <w:pPr>
        <w:pStyle w:val="4"/>
        <w:spacing w:line="360" w:lineRule="auto"/>
        <w:ind w:firstLine="480" w:firstLineChars="200"/>
        <w:rPr>
          <w:rFonts w:hint="eastAsia"/>
          <w:lang w:eastAsia="zh-CN"/>
        </w:rPr>
      </w:pPr>
      <w:r>
        <w:rPr>
          <w:rFonts w:hint="eastAsia" w:ascii="宋体" w:hAnsi="宋体" w:eastAsia="宋体" w:cs="Times New Roman"/>
          <w:kern w:val="2"/>
          <w:sz w:val="24"/>
          <w:szCs w:val="28"/>
          <w:lang w:val="en-US" w:eastAsia="zh-CN" w:bidi="ar-SA"/>
        </w:rPr>
        <w:t>实现公立医院经济管理实训基地教学实操训练功能，需结合医院HRP系统模块（预算、报销、会计、合同、会计、科研基金、物流、资产、人力、科室成本、运营等）设计分级课程，匹配“焦点对话 + 实地参观”“集中培训 + 现场研讨”“集中培训 + 跟岗实践”等培训形式；实操训练功能，支持学员在系统模拟环境中完成预算编制、报销、合同草签、科研基金、科室成本核算、资产盘点、耗材入库等实操任务；基于医院在用HRP系统数据提炼运营管理案例，开展研讨分析；根据层级匹配对应课程与系统模块；学员在模拟环境中完成实操任务，师资通过系统跟踪指导；结合理论考核形成综合评价；最后将优秀实训成果转化为案例库资源，反哺课程优化。需结合医院HRP系统模块（预算、报销、会计、合同、会计、科研基金、物流、资产、人力、科室成本、运营等）真实业务流程，在模拟环境中分角色设计实操训练功能，让学员在模拟环境中完成实操任务。</w:t>
      </w:r>
    </w:p>
    <w:p w14:paraId="5DEAB031">
      <w:pPr>
        <w:pStyle w:val="2"/>
        <w:bidi w:val="0"/>
        <w:rPr>
          <w:rFonts w:hint="default"/>
          <w:lang w:val="en-US" w:eastAsia="zh-CN"/>
        </w:rPr>
      </w:pPr>
      <w:bookmarkStart w:id="2" w:name="_Toc411416266"/>
      <w:bookmarkEnd w:id="2"/>
      <w:bookmarkStart w:id="3" w:name="_Toc411416265"/>
      <w:bookmarkEnd w:id="3"/>
      <w:bookmarkStart w:id="4" w:name="_Toc16168"/>
      <w:r>
        <w:rPr>
          <w:rFonts w:hint="eastAsia"/>
          <w:lang w:val="en-US" w:eastAsia="zh-CN"/>
        </w:rPr>
        <w:t>建设</w:t>
      </w:r>
      <w:r>
        <w:rPr>
          <w:rFonts w:hint="default"/>
          <w:lang w:val="en-US" w:eastAsia="zh-CN"/>
        </w:rPr>
        <w:t>安全</w:t>
      </w:r>
      <w:r>
        <w:rPr>
          <w:rFonts w:hint="eastAsia"/>
          <w:lang w:val="en-US" w:eastAsia="zh-CN"/>
        </w:rPr>
        <w:t>要求</w:t>
      </w:r>
      <w:bookmarkEnd w:id="4"/>
    </w:p>
    <w:p w14:paraId="4E201796">
      <w:pPr>
        <w:ind w:firstLine="480" w:firstLineChars="200"/>
        <w:rPr>
          <w:rFonts w:hint="default" w:ascii="宋体" w:hAnsi="宋体" w:eastAsia="宋体" w:cs="Times New Roman"/>
          <w:kern w:val="2"/>
          <w:sz w:val="24"/>
          <w:szCs w:val="28"/>
          <w:lang w:val="en-US" w:eastAsia="zh-CN" w:bidi="ar-SA"/>
        </w:rPr>
      </w:pPr>
      <w:r>
        <w:rPr>
          <w:rFonts w:hint="eastAsia" w:ascii="宋体" w:hAnsi="宋体" w:eastAsia="宋体" w:cs="Times New Roman"/>
          <w:kern w:val="2"/>
          <w:sz w:val="24"/>
          <w:szCs w:val="28"/>
          <w:lang w:val="en-US" w:eastAsia="zh-CN" w:bidi="ar-SA"/>
        </w:rPr>
        <w:t>坚持需求导向，紧扣卫生健康经济管理人员岗位需求，以HRP系统功能为基础设计实训内容，确保培训针对性；突出行业特色，将HRP系统实操与医院经济管理实践深度融合，打造“沉浸式”实训体验；统筹协同推进，加强与省级卫生健康部门、其他实训基地的联动，实现课程、案例等资源共建共享；保障安全规范，严格遵循数据安全规定，对HRP系统真实数据进行脱敏处理，确保实训数据安全。</w:t>
      </w:r>
    </w:p>
    <w:p w14:paraId="493AA8B2">
      <w:pPr>
        <w:pStyle w:val="2"/>
        <w:bidi w:val="0"/>
      </w:pPr>
      <w:bookmarkStart w:id="5" w:name="_Toc24622"/>
      <w:bookmarkStart w:id="6" w:name="_Toc26677"/>
      <w:bookmarkStart w:id="7" w:name="_Toc31829"/>
      <w:r>
        <w:rPr>
          <w:rFonts w:hint="eastAsia"/>
        </w:rPr>
        <w:t>项目实施及培训要求</w:t>
      </w:r>
      <w:bookmarkEnd w:id="5"/>
      <w:bookmarkEnd w:id="6"/>
      <w:bookmarkEnd w:id="7"/>
    </w:p>
    <w:p w14:paraId="57D7F134">
      <w:pPr>
        <w:pStyle w:val="3"/>
        <w:bidi w:val="0"/>
      </w:pPr>
      <w:bookmarkStart w:id="8" w:name="_Toc15978"/>
      <w:bookmarkStart w:id="9" w:name="_Toc12705"/>
      <w:bookmarkStart w:id="10" w:name="_Toc5039"/>
      <w:r>
        <w:rPr>
          <w:rFonts w:hint="eastAsia"/>
        </w:rPr>
        <w:t>工期要求</w:t>
      </w:r>
      <w:bookmarkEnd w:id="8"/>
      <w:bookmarkEnd w:id="9"/>
      <w:bookmarkEnd w:id="10"/>
    </w:p>
    <w:p w14:paraId="3CF2033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本项目要求合同签订后18个月内完成。包括系统安装调试，实训教学数据初始化、流程固化、上线运行等关键环节。</w:t>
      </w:r>
    </w:p>
    <w:p w14:paraId="6503198C">
      <w:pPr>
        <w:pStyle w:val="3"/>
        <w:bidi w:val="0"/>
      </w:pPr>
      <w:bookmarkStart w:id="11" w:name="_Toc18255"/>
      <w:bookmarkStart w:id="12" w:name="_Toc17357"/>
      <w:bookmarkStart w:id="13" w:name="_Toc1129"/>
      <w:r>
        <w:t>项目团队要求</w:t>
      </w:r>
      <w:bookmarkEnd w:id="11"/>
      <w:bookmarkEnd w:id="12"/>
      <w:bookmarkEnd w:id="13"/>
    </w:p>
    <w:p w14:paraId="398E4CFD">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由双方高层组成联合项目领导小组，主要负责项目指导，重大决策、资源协调。</w:t>
      </w:r>
    </w:p>
    <w:p w14:paraId="6B4D74AB">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由双方主要负责人组成项目质量管理组，项目质量管理与质量控制。</w:t>
      </w:r>
    </w:p>
    <w:p w14:paraId="40EBBEF1">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中标人项目组由项目经理负责，应保证项目团队成员稳定性。。</w:t>
      </w:r>
    </w:p>
    <w:p w14:paraId="750260BC">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项目团队主要业务顾问具有本项目相关业务的丰富经验，以保证咨询服务和管理标准化的质量，保证项目重要技术实施的质量。</w:t>
      </w:r>
    </w:p>
    <w:p w14:paraId="0C51CB9F">
      <w:pPr>
        <w:pStyle w:val="3"/>
        <w:bidi w:val="0"/>
      </w:pPr>
      <w:bookmarkStart w:id="14" w:name="_Toc1309"/>
      <w:bookmarkStart w:id="15" w:name="_Toc19394"/>
      <w:bookmarkStart w:id="16" w:name="_Toc12901"/>
      <w:r>
        <w:rPr>
          <w:rFonts w:hint="eastAsia"/>
        </w:rPr>
        <w:t>实施要求</w:t>
      </w:r>
      <w:bookmarkEnd w:id="14"/>
      <w:bookmarkEnd w:id="15"/>
      <w:bookmarkEnd w:id="16"/>
    </w:p>
    <w:p w14:paraId="3D20F3E1">
      <w:pPr>
        <w:keepNext w:val="0"/>
        <w:keepLines w:val="0"/>
        <w:pageBreakBefore w:val="0"/>
        <w:widowControl w:val="0"/>
        <w:numPr>
          <w:ilvl w:val="0"/>
          <w:numId w:val="4"/>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为保证项目按时按质顺利进行，中标人应提供详细的项目实施时间表（以天为单位）和各阶段各方人员安排及相关的工作内容；提出完整、合理、可行的项目管理计划，其中包括关于项目进度控制、质量控制、风险控制、文档管理以及与本项目相关的协调工作等的详细描述。</w:t>
      </w:r>
    </w:p>
    <w:p w14:paraId="32D8BEF1">
      <w:pPr>
        <w:keepNext w:val="0"/>
        <w:keepLines w:val="0"/>
        <w:pageBreakBefore w:val="0"/>
        <w:widowControl w:val="0"/>
        <w:numPr>
          <w:ilvl w:val="0"/>
          <w:numId w:val="4"/>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项目实施中必须根据甲方需求进行开发设计、实施，以满足甲方部门间信息共享的需求。</w:t>
      </w:r>
    </w:p>
    <w:p w14:paraId="09DCA93E">
      <w:pPr>
        <w:keepNext w:val="0"/>
        <w:keepLines w:val="0"/>
        <w:pageBreakBefore w:val="0"/>
        <w:widowControl w:val="0"/>
        <w:numPr>
          <w:ilvl w:val="0"/>
          <w:numId w:val="4"/>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cs="Times New Roman"/>
          <w:sz w:val="24"/>
          <w:szCs w:val="24"/>
          <w:lang w:val="en-US" w:eastAsia="zh-CN"/>
        </w:rPr>
        <w:t>需</w:t>
      </w:r>
      <w:r>
        <w:rPr>
          <w:rFonts w:hint="eastAsia" w:ascii="宋体" w:hAnsi="宋体" w:eastAsia="宋体" w:cs="Times New Roman"/>
          <w:sz w:val="24"/>
          <w:szCs w:val="24"/>
          <w:lang w:val="en-US" w:eastAsia="zh-CN"/>
        </w:rPr>
        <w:t>提供承诺函</w:t>
      </w:r>
      <w:r>
        <w:rPr>
          <w:rFonts w:hint="eastAsia" w:cs="Times New Roman"/>
          <w:sz w:val="24"/>
          <w:szCs w:val="24"/>
          <w:lang w:val="en-US" w:eastAsia="zh-CN"/>
        </w:rPr>
        <w:t>;</w:t>
      </w:r>
    </w:p>
    <w:p w14:paraId="3B40D9F6">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firstLine="240" w:firstLineChars="1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（1）客户端安装使用无数量限制，免费开放一定代码权限；</w:t>
      </w:r>
    </w:p>
    <w:p w14:paraId="3A083751">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firstLine="240" w:firstLineChars="1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本次投标所提供的系统能与采购人现使用的相关系统、集成平台、医院微信公众号及医院因业务需求需要对接的系统等免费无缝集成，无条件免费开放所有接口和数据结构，并完成相关接口开发，对接本项目涉及到与第三方软件业务系统所发生的接口费用由投标人全额承担；</w:t>
      </w:r>
    </w:p>
    <w:p w14:paraId="2D414A53">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firstLine="240" w:firstLineChars="1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（3）投标人提供的系统符合国家对信息系统三级及以上等级安全保护要求标准，并承诺配合完成系统三级及以上等保测评及后续整改工作；</w:t>
      </w:r>
    </w:p>
    <w:p w14:paraId="07E42855">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firstLine="240" w:firstLineChars="100"/>
        <w:textAlignment w:val="auto"/>
        <w:rPr>
          <w:rFonts w:hint="eastAsia" w:ascii="宋体" w:hAnsi="宋体" w:eastAsia="宋体" w:cs="Times New Roman"/>
          <w:sz w:val="24"/>
          <w:szCs w:val="24"/>
          <w:lang w:val="en-US" w:eastAsia="zh-CN"/>
        </w:rPr>
      </w:pPr>
      <w:bookmarkStart w:id="27" w:name="_GoBack"/>
      <w:bookmarkEnd w:id="27"/>
      <w:r>
        <w:rPr>
          <w:rFonts w:hint="eastAsia" w:ascii="宋体" w:hAnsi="宋体" w:eastAsia="宋体" w:cs="Times New Roman"/>
          <w:sz w:val="24"/>
          <w:szCs w:val="24"/>
          <w:lang w:val="en-US" w:eastAsia="zh-CN"/>
        </w:rPr>
        <w:t>（4）系统验收后2 年内与医院在用或新建的各系统按医院要求免费对接，不限接口形式；</w:t>
      </w:r>
    </w:p>
    <w:p w14:paraId="64EBE214">
      <w:pPr>
        <w:pStyle w:val="3"/>
        <w:bidi w:val="0"/>
      </w:pPr>
      <w:bookmarkStart w:id="17" w:name="_Toc17983"/>
      <w:bookmarkStart w:id="18" w:name="_Toc17739"/>
      <w:bookmarkStart w:id="19" w:name="_Toc16999"/>
      <w:r>
        <w:rPr>
          <w:rFonts w:hint="eastAsia"/>
        </w:rPr>
        <w:t>培训要求</w:t>
      </w:r>
      <w:bookmarkEnd w:id="17"/>
      <w:bookmarkEnd w:id="18"/>
      <w:bookmarkEnd w:id="19"/>
    </w:p>
    <w:p w14:paraId="53C651DE">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中标人负责对甲方人员提供技术培训，包括操作人员培训和管理维护人员培训。投标人应在投标文件中提出培训计划，计划包括培训类别、培训项目及培训方式等详细内容，达到使相关人员熟练使用系统的目的。中标人负责编制完善的培训材料。</w:t>
      </w:r>
    </w:p>
    <w:p w14:paraId="35BC3BEE">
      <w:pPr>
        <w:pStyle w:val="3"/>
        <w:bidi w:val="0"/>
      </w:pPr>
      <w:bookmarkStart w:id="20" w:name="_Toc6159"/>
      <w:bookmarkStart w:id="21" w:name="_Toc30097"/>
      <w:bookmarkStart w:id="22" w:name="_Toc27808"/>
      <w:r>
        <w:rPr>
          <w:rFonts w:hint="eastAsia"/>
        </w:rPr>
        <w:t>验收</w:t>
      </w:r>
      <w:bookmarkEnd w:id="20"/>
      <w:bookmarkEnd w:id="21"/>
      <w:r>
        <w:rPr>
          <w:rFonts w:hint="eastAsia"/>
          <w:lang w:eastAsia="zh-CN"/>
        </w:rPr>
        <w:t>要求</w:t>
      </w:r>
      <w:bookmarkEnd w:id="22"/>
    </w:p>
    <w:p w14:paraId="62D64922">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的验收分初验和终验两个阶段，根据采购人的项目实施进度要求，系统完成开发部署，整体上线后进行项目初验，并进入试运行阶段，试运行期满达到招标要求后进行终验。中标人要提供详尽的项目验收方案，包括验收组织、验收内容、验收标准、验收报告等。</w:t>
      </w:r>
    </w:p>
    <w:p w14:paraId="5F6CF246">
      <w:pPr>
        <w:pStyle w:val="2"/>
        <w:bidi w:val="0"/>
      </w:pPr>
      <w:bookmarkStart w:id="23" w:name="_Toc5238"/>
      <w:bookmarkStart w:id="24" w:name="_Toc11068"/>
      <w:bookmarkStart w:id="25" w:name="_Toc22125"/>
      <w:r>
        <w:rPr>
          <w:rFonts w:hint="eastAsia"/>
        </w:rPr>
        <w:t>售后服务</w:t>
      </w:r>
      <w:bookmarkEnd w:id="23"/>
      <w:bookmarkEnd w:id="24"/>
      <w:r>
        <w:rPr>
          <w:rFonts w:hint="eastAsia"/>
          <w:lang w:eastAsia="zh-CN"/>
        </w:rPr>
        <w:t>要求</w:t>
      </w:r>
      <w:bookmarkEnd w:id="25"/>
    </w:p>
    <w:p w14:paraId="67578231">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ascii="宋体" w:hAnsi="宋体" w:eastAsia="宋体" w:cs="Times New Roman"/>
          <w:sz w:val="24"/>
          <w:szCs w:val="24"/>
          <w:lang w:val="en-US" w:eastAsia="zh-CN"/>
        </w:rPr>
        <w:t>项目通过验收之日起，投标人必须提供</w:t>
      </w:r>
      <w:r>
        <w:rPr>
          <w:rFonts w:hint="eastAsia" w:cs="Times New Roman"/>
          <w:sz w:val="24"/>
          <w:szCs w:val="24"/>
          <w:lang w:val="en-US" w:eastAsia="zh-CN"/>
        </w:rPr>
        <w:t>不低于</w:t>
      </w:r>
      <w:r>
        <w:rPr>
          <w:rFonts w:hint="eastAsia" w:ascii="宋体" w:hAnsi="宋体" w:eastAsia="宋体" w:cs="Times New Roman"/>
          <w:sz w:val="24"/>
          <w:szCs w:val="24"/>
          <w:lang w:val="en-US" w:eastAsia="zh-CN"/>
        </w:rPr>
        <w:t>一年的</w:t>
      </w:r>
      <w:r>
        <w:rPr>
          <w:rFonts w:hint="eastAsia" w:cs="Times New Roman"/>
          <w:sz w:val="24"/>
          <w:szCs w:val="24"/>
          <w:lang w:val="en-US" w:eastAsia="zh-CN"/>
        </w:rPr>
        <w:t>技术运维服务</w:t>
      </w:r>
      <w:r>
        <w:rPr>
          <w:rFonts w:hint="eastAsia" w:ascii="宋体" w:hAnsi="宋体" w:eastAsia="宋体" w:cs="Times New Roman"/>
          <w:sz w:val="24"/>
          <w:szCs w:val="24"/>
          <w:lang w:val="en-US" w:eastAsia="zh-CN"/>
        </w:rPr>
        <w:t>、版本升级服务，若有升级版本须及时通知用户，是否升级由用户决定；</w:t>
      </w:r>
      <w:r>
        <w:rPr>
          <w:rFonts w:hint="eastAsia" w:cs="Times New Roman"/>
          <w:sz w:val="24"/>
          <w:szCs w:val="24"/>
          <w:lang w:val="en-US" w:eastAsia="zh-CN"/>
        </w:rPr>
        <w:t>提供的</w:t>
      </w:r>
      <w:r>
        <w:rPr>
          <w:rFonts w:hint="eastAsia" w:ascii="宋体" w:hAnsi="宋体" w:eastAsia="宋体" w:cs="Times New Roman"/>
          <w:sz w:val="24"/>
          <w:szCs w:val="24"/>
          <w:lang w:val="en-US" w:eastAsia="zh-CN"/>
        </w:rPr>
        <w:t>服务期结束后，投标人应提出升级、维护服务方案，并对服务内容、费用、方式、范围（产品、技术、模块）等方面进行承诺，另行签订服务合同。</w:t>
      </w:r>
    </w:p>
    <w:p w14:paraId="7AE5B0E9">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要求项目实施团队包含至少2名软件厂家技术人员（含项目经理）全程跟进该项目实施过程，项目团队具有丰富的实施经验，沟通能力强，需提供相关的资质证书，未经采购人同意不得随意变动。</w:t>
      </w:r>
    </w:p>
    <w:p w14:paraId="097F8F76">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系统与采购人已有或新上业务系统对接不再收取接口费用，另外须无偿配合采购人更换服务器等硬件或相关软件升级的接口改造工作。</w:t>
      </w:r>
    </w:p>
    <w:p w14:paraId="01B54812">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要求投标人在免费维护期内至少配备1名技术人员在采购人指定地点提供进场服务，及时解决本项目软硬件相关问题，平均故障处理时间不得超过3小时，未经采购人允许不准随意更换。</w:t>
      </w:r>
    </w:p>
    <w:p w14:paraId="340E1230">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对于采购方使用过程中出现的故障或问题，投标人可通过电话指导或网络远程方式协助解决，对于电话及远程均不能解决的重大系统故障，技术响应并到达现场的时间不得超过两小时。</w:t>
      </w:r>
    </w:p>
    <w:p w14:paraId="768ABD2F">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具有良好的售后服务体系，能够满足招标文件要求的各项服务要求。</w:t>
      </w:r>
    </w:p>
    <w:p w14:paraId="099F63D7">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项目验收前提供系统详细开发文档，数据库设计文档，用户使用手册等文档。</w:t>
      </w:r>
    </w:p>
    <w:p w14:paraId="3D3C43E8">
      <w:pPr>
        <w:keepNext w:val="0"/>
        <w:keepLines w:val="0"/>
        <w:pageBreakBefore w:val="0"/>
        <w:widowControl w:val="0"/>
        <w:numPr>
          <w:ilvl w:val="0"/>
          <w:numId w:val="5"/>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合同签订前，中标方需提供所投软件厂家针对此项目的售后服务承诺函原件。</w:t>
      </w:r>
    </w:p>
    <w:p w14:paraId="579B9436">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both"/>
        <w:textAlignment w:val="auto"/>
        <w:rPr>
          <w:rFonts w:hint="eastAsia" w:cs="Times New Roman"/>
          <w:sz w:val="24"/>
          <w:szCs w:val="24"/>
          <w:lang w:val="en-US" w:eastAsia="zh-CN"/>
        </w:rPr>
        <w:sectPr>
          <w:headerReference r:id="rId5" w:type="first"/>
          <w:footerReference r:id="rId7" w:type="first"/>
          <w:footerReference r:id="rId6" w:type="default"/>
          <w:pgSz w:w="11907" w:h="16840"/>
          <w:pgMar w:top="1440" w:right="1531" w:bottom="1440" w:left="1531" w:header="567" w:footer="567" w:gutter="0"/>
          <w:pgBorders>
            <w:top w:val="none" w:sz="0" w:space="0"/>
            <w:left w:val="none" w:sz="0" w:space="0"/>
            <w:bottom w:val="none" w:sz="0" w:space="0"/>
            <w:right w:val="none" w:sz="0" w:space="0"/>
          </w:pgBorders>
          <w:pgNumType w:fmt="decimal"/>
          <w:cols w:space="425" w:num="1"/>
          <w:docGrid w:linePitch="326" w:charSpace="0"/>
        </w:sectPr>
      </w:pPr>
    </w:p>
    <w:p w14:paraId="69241890">
      <w:pPr>
        <w:pStyle w:val="2"/>
        <w:bidi w:val="0"/>
        <w:rPr>
          <w:rFonts w:hint="eastAsia" w:cs="Times New Roman"/>
          <w:lang w:eastAsia="zh-CN"/>
        </w:rPr>
      </w:pPr>
      <w:bookmarkStart w:id="26" w:name="_Toc26316"/>
      <w:r>
        <w:rPr>
          <w:rFonts w:hint="eastAsia" w:cs="Times New Roman"/>
          <w:lang w:eastAsia="zh-CN"/>
        </w:rPr>
        <w:t>建设技术和功能模块</w:t>
      </w:r>
      <w:r>
        <w:rPr>
          <w:rFonts w:hint="eastAsia"/>
          <w:lang w:eastAsia="zh-CN"/>
        </w:rPr>
        <w:t>要求</w:t>
      </w:r>
      <w:bookmarkEnd w:id="26"/>
    </w:p>
    <w:p w14:paraId="1A695BBD">
      <w:pPr>
        <w:widowControl/>
        <w:spacing w:line="360" w:lineRule="auto"/>
        <w:ind w:left="0" w:leftChars="0" w:firstLine="0" w:firstLineChars="0"/>
        <w:jc w:val="left"/>
        <w:outlineLvl w:val="2"/>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一、功能要求</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300"/>
        <w:gridCol w:w="6187"/>
      </w:tblGrid>
      <w:tr w14:paraId="300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714" w:type="dxa"/>
            <w:shd w:val="clear" w:color="auto" w:fill="D9D9D9"/>
            <w:vAlign w:val="center"/>
          </w:tcPr>
          <w:p w14:paraId="7F4EA3AF">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300" w:type="dxa"/>
            <w:shd w:val="clear" w:color="auto" w:fill="D9D9D9"/>
            <w:vAlign w:val="center"/>
          </w:tcPr>
          <w:p w14:paraId="7A80D737">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功能名称</w:t>
            </w:r>
          </w:p>
        </w:tc>
        <w:tc>
          <w:tcPr>
            <w:tcW w:w="6187" w:type="dxa"/>
            <w:shd w:val="clear" w:color="auto" w:fill="D9D9D9"/>
            <w:vAlign w:val="center"/>
          </w:tcPr>
          <w:p w14:paraId="08CB834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功能</w:t>
            </w:r>
            <w:r>
              <w:rPr>
                <w:rFonts w:hint="eastAsia" w:ascii="宋体" w:hAnsi="宋体" w:eastAsia="宋体" w:cs="宋体"/>
                <w:b w:val="0"/>
                <w:bCs w:val="0"/>
                <w:color w:val="auto"/>
                <w:sz w:val="24"/>
                <w:szCs w:val="24"/>
                <w:highlight w:val="none"/>
              </w:rPr>
              <w:t>描述</w:t>
            </w:r>
          </w:p>
        </w:tc>
      </w:tr>
      <w:tr w14:paraId="4A4F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F127B2A">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300" w:type="dxa"/>
            <w:vAlign w:val="center"/>
          </w:tcPr>
          <w:p w14:paraId="6B745E7B">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授课老师管理</w:t>
            </w:r>
          </w:p>
        </w:tc>
        <w:tc>
          <w:tcPr>
            <w:tcW w:w="6187" w:type="dxa"/>
            <w:vAlign w:val="center"/>
          </w:tcPr>
          <w:p w14:paraId="3D2ACC64">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具备</w:t>
            </w:r>
            <w:r>
              <w:rPr>
                <w:rFonts w:hint="eastAsia" w:ascii="宋体" w:hAnsi="宋体" w:eastAsia="宋体" w:cs="宋体"/>
                <w:b w:val="0"/>
                <w:bCs w:val="0"/>
                <w:color w:val="auto"/>
                <w:sz w:val="24"/>
                <w:szCs w:val="24"/>
                <w:highlight w:val="none"/>
                <w:lang w:val="en-US" w:eastAsia="zh-CN"/>
              </w:rPr>
              <w:t>授课老师</w:t>
            </w:r>
            <w:r>
              <w:rPr>
                <w:rFonts w:hint="eastAsia" w:ascii="宋体" w:hAnsi="宋体" w:eastAsia="宋体" w:cs="宋体"/>
                <w:b w:val="0"/>
                <w:bCs w:val="0"/>
                <w:color w:val="auto"/>
                <w:sz w:val="24"/>
                <w:szCs w:val="24"/>
                <w:highlight w:val="none"/>
                <w:lang w:eastAsia="zh-CN"/>
              </w:rPr>
              <w:t>信息管理</w:t>
            </w:r>
            <w:r>
              <w:rPr>
                <w:rFonts w:hint="eastAsia" w:ascii="宋体" w:hAnsi="宋体" w:eastAsia="宋体" w:cs="宋体"/>
                <w:b w:val="0"/>
                <w:bCs w:val="0"/>
                <w:color w:val="auto"/>
                <w:sz w:val="24"/>
                <w:szCs w:val="24"/>
                <w:highlight w:val="none"/>
                <w:lang w:val="en-US" w:eastAsia="zh-CN"/>
              </w:rPr>
              <w:t>功能，</w:t>
            </w:r>
            <w:r>
              <w:rPr>
                <w:rFonts w:hint="eastAsia" w:ascii="宋体" w:hAnsi="宋体" w:eastAsia="宋体" w:cs="宋体"/>
                <w:b w:val="0"/>
                <w:bCs w:val="0"/>
                <w:color w:val="auto"/>
                <w:sz w:val="24"/>
                <w:szCs w:val="24"/>
                <w:highlight w:val="none"/>
              </w:rPr>
              <w:t>支持多方式录入老师基础信息，包括单个手动录入、Excel批量导入</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，支持关联老师授课记录，包括已授实训课程名称、授课班级、授课学期、实训任务完成情况等，可查看历史授课数据，支持按学期、课程名称筛选查询。</w:t>
            </w:r>
          </w:p>
        </w:tc>
      </w:tr>
      <w:tr w14:paraId="167B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86835BC">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300" w:type="dxa"/>
            <w:vAlign w:val="center"/>
          </w:tcPr>
          <w:p w14:paraId="2B6DAC8C">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学员管理</w:t>
            </w:r>
          </w:p>
        </w:tc>
        <w:tc>
          <w:tcPr>
            <w:tcW w:w="6187" w:type="dxa"/>
            <w:vAlign w:val="center"/>
          </w:tcPr>
          <w:p w14:paraId="4BCBB37F">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具备</w:t>
            </w:r>
            <w:r>
              <w:rPr>
                <w:rFonts w:hint="eastAsia" w:ascii="宋体" w:hAnsi="宋体" w:eastAsia="宋体" w:cs="宋体"/>
                <w:b w:val="0"/>
                <w:bCs w:val="0"/>
                <w:color w:val="auto"/>
                <w:sz w:val="24"/>
                <w:szCs w:val="24"/>
                <w:highlight w:val="none"/>
                <w:lang w:val="en-US" w:eastAsia="zh-CN"/>
              </w:rPr>
              <w:t>学员</w:t>
            </w:r>
            <w:r>
              <w:rPr>
                <w:rFonts w:hint="eastAsia" w:ascii="宋体" w:hAnsi="宋体" w:eastAsia="宋体" w:cs="宋体"/>
                <w:b w:val="0"/>
                <w:bCs w:val="0"/>
                <w:color w:val="auto"/>
                <w:sz w:val="24"/>
                <w:szCs w:val="24"/>
                <w:highlight w:val="none"/>
                <w:lang w:eastAsia="zh-CN"/>
              </w:rPr>
              <w:t>信息管理</w:t>
            </w:r>
            <w:r>
              <w:rPr>
                <w:rFonts w:hint="eastAsia" w:ascii="宋体" w:hAnsi="宋体" w:eastAsia="宋体" w:cs="宋体"/>
                <w:b w:val="0"/>
                <w:bCs w:val="0"/>
                <w:color w:val="auto"/>
                <w:sz w:val="24"/>
                <w:szCs w:val="24"/>
                <w:highlight w:val="none"/>
                <w:lang w:val="en-US" w:eastAsia="zh-CN"/>
              </w:rPr>
              <w:t>功能</w:t>
            </w:r>
            <w:r>
              <w:rPr>
                <w:rFonts w:hint="eastAsia" w:ascii="宋体" w:hAnsi="宋体" w:eastAsia="宋体" w:cs="宋体"/>
                <w:b w:val="0"/>
                <w:bCs w:val="0"/>
                <w:color w:val="auto"/>
                <w:sz w:val="24"/>
                <w:szCs w:val="24"/>
                <w:highlight w:val="none"/>
                <w:lang w:eastAsia="zh-CN"/>
              </w:rPr>
              <w:t>，支持</w:t>
            </w:r>
            <w:r>
              <w:rPr>
                <w:rFonts w:hint="eastAsia" w:ascii="宋体" w:hAnsi="宋体" w:eastAsia="宋体" w:cs="宋体"/>
                <w:b w:val="0"/>
                <w:bCs w:val="0"/>
                <w:color w:val="auto"/>
                <w:sz w:val="24"/>
                <w:szCs w:val="24"/>
                <w:highlight w:val="none"/>
                <w:lang w:val="en-US" w:eastAsia="zh-CN"/>
              </w:rPr>
              <w:t>学员</w:t>
            </w:r>
            <w:r>
              <w:rPr>
                <w:rFonts w:hint="eastAsia" w:ascii="宋体" w:hAnsi="宋体" w:eastAsia="宋体" w:cs="宋体"/>
                <w:b w:val="0"/>
                <w:bCs w:val="0"/>
                <w:color w:val="auto"/>
                <w:sz w:val="24"/>
                <w:szCs w:val="24"/>
                <w:highlight w:val="none"/>
                <w:lang w:eastAsia="zh-CN"/>
              </w:rPr>
              <w:t>账号创建、密码重置、信息修改等，支持学生状态标记</w:t>
            </w:r>
            <w:r>
              <w:rPr>
                <w:rFonts w:hint="eastAsia" w:ascii="宋体" w:hAnsi="宋体" w:eastAsia="宋体" w:cs="宋体"/>
                <w:b w:val="0"/>
                <w:bCs w:val="0"/>
                <w:color w:val="auto"/>
                <w:sz w:val="24"/>
                <w:szCs w:val="24"/>
                <w:highlight w:val="none"/>
                <w:lang w:val="en-US" w:eastAsia="zh-CN"/>
              </w:rPr>
              <w:t>和查询</w:t>
            </w:r>
            <w:r>
              <w:rPr>
                <w:rFonts w:hint="eastAsia" w:ascii="宋体" w:hAnsi="宋体" w:eastAsia="宋体" w:cs="宋体"/>
                <w:b w:val="0"/>
                <w:bCs w:val="0"/>
                <w:color w:val="auto"/>
                <w:sz w:val="24"/>
                <w:szCs w:val="24"/>
                <w:highlight w:val="none"/>
                <w:lang w:eastAsia="zh-CN"/>
              </w:rPr>
              <w:t>。</w:t>
            </w:r>
          </w:p>
        </w:tc>
      </w:tr>
      <w:tr w14:paraId="2937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87F69E6">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300" w:type="dxa"/>
            <w:vAlign w:val="center"/>
          </w:tcPr>
          <w:p w14:paraId="31C3DB9D">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教学资源管理</w:t>
            </w:r>
          </w:p>
        </w:tc>
        <w:tc>
          <w:tcPr>
            <w:tcW w:w="6187" w:type="dxa"/>
            <w:vAlign w:val="center"/>
          </w:tcPr>
          <w:p w14:paraId="0122F69D">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支持上传、分类管理实训教学资源，包括课件、案例素材、操作手册、数据模板、视频教程等，支持按课程、任务类型、资源格式（文档、视频、音频、表格）分类检索。</w:t>
            </w:r>
          </w:p>
        </w:tc>
      </w:tr>
      <w:tr w14:paraId="5D43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188F4140">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2300" w:type="dxa"/>
            <w:shd w:val="clear" w:color="auto" w:fill="auto"/>
            <w:vAlign w:val="center"/>
          </w:tcPr>
          <w:p w14:paraId="37087983">
            <w:pPr>
              <w:keepNext w:val="0"/>
              <w:keepLines w:val="0"/>
              <w:suppressLineNumbers w:val="0"/>
              <w:spacing w:before="0" w:beforeAutospacing="0" w:after="0" w:afterAutospacing="0" w:line="360" w:lineRule="exact"/>
              <w:ind w:left="0" w:leftChars="0" w:right="0" w:righ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虚拟实操系统台</w:t>
            </w:r>
          </w:p>
        </w:tc>
        <w:tc>
          <w:tcPr>
            <w:tcW w:w="6187" w:type="dxa"/>
            <w:shd w:val="clear" w:color="auto" w:fill="auto"/>
            <w:vAlign w:val="center"/>
          </w:tcPr>
          <w:p w14:paraId="61220E51">
            <w:pPr>
              <w:keepNext w:val="0"/>
              <w:keepLines w:val="0"/>
              <w:suppressLineNumbers w:val="0"/>
              <w:spacing w:before="0" w:beforeAutospacing="0" w:after="0" w:afterAutospacing="0" w:line="360" w:lineRule="exact"/>
              <w:ind w:left="0" w:leftChars="0"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还原HRP系统真实业务流程，实现《工作方案》“打造‘沉浸式’培训模式”要求，支持分角色实操训练。基于HRP系统预算、报销、合同、资产、科室成本等模块，搭建虚拟操作场景，例如“预算编制场景”模拟年度预算申报、审批、调整全流程，“资产盘点场景”模拟资产台账核对、盈亏处理、报告生成流程。 分角色设置权限与任务：设置“预算专员”“财务会计”“资产管理员”等角色，每个角色仅可见对应岗位操作界面（如“资产管理员”仅开放资产入库、盘点、处置功能），匹配真实岗位权责。通过接口同步HRP系统脱敏业务数据（去除敏感信息），生成虚拟实操任务数据（含任务参数、标准流程），实时记录学员操作轨迹（操作步骤、数据录入、流程节点）。</w:t>
            </w:r>
          </w:p>
        </w:tc>
      </w:tr>
      <w:tr w14:paraId="1185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4FE9E47">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300" w:type="dxa"/>
            <w:vAlign w:val="center"/>
          </w:tcPr>
          <w:p w14:paraId="498B9966">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分级操作权限管理</w:t>
            </w:r>
          </w:p>
        </w:tc>
        <w:tc>
          <w:tcPr>
            <w:tcW w:w="6187" w:type="dxa"/>
            <w:vAlign w:val="center"/>
          </w:tcPr>
          <w:p w14:paraId="531D7B96">
            <w:pPr>
              <w:keepNext w:val="0"/>
              <w:keepLines w:val="0"/>
              <w:suppressLineNumbers w:val="0"/>
              <w:spacing w:before="0" w:beforeAutospacing="0" w:after="0" w:afterAutospacing="0" w:line="360" w:lineRule="exact"/>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落实《建设标准》3.6.2条“分级分类设计课程体系”要求，匹配“焦点对话+实地参观”“集中培训+现场研讨”“集中培训+跟岗实践”三类培训形式。 按“领导干部、部门骨干、一般管理人员”不同分类课程，关联HRP系统模块（预算、成本、资产、报销、合同等），例如领导干部课程关联“预算战略规划”“运营决策分析”模块，一般管理人员课程关联“报销流程”“资产盘点”模块。</w:t>
            </w:r>
          </w:p>
        </w:tc>
      </w:tr>
      <w:tr w14:paraId="3CFC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539E8A2">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2300" w:type="dxa"/>
            <w:vAlign w:val="center"/>
          </w:tcPr>
          <w:p w14:paraId="0F6181E4">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角色权限管理</w:t>
            </w:r>
          </w:p>
        </w:tc>
        <w:tc>
          <w:tcPr>
            <w:tcW w:w="6187" w:type="dxa"/>
            <w:vAlign w:val="center"/>
          </w:tcPr>
          <w:p w14:paraId="6945CC62">
            <w:pPr>
              <w:keepNext w:val="0"/>
              <w:keepLines w:val="0"/>
              <w:suppressLineNumbers w:val="0"/>
              <w:spacing w:before="0" w:beforeAutospacing="0" w:after="0" w:afterAutospacing="0" w:line="360" w:lineRule="exact"/>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bidi="en-US"/>
              </w:rPr>
              <w:t>强化“传帮带”作用，聚焦“实践操作力”提升，呼应《建设标准》3.3条“跟班实操科室”实践要求。授课教师可自定义实操任务（如“编制季度科室成本分摊表”“完成耗材入库验收流程”），设置任务目标、操作步骤（如流程合规性占40%、数据准确性占60%）。学员按角色在虚拟环境中完成操作，系统实时提示操作偏差（如“报销附件不全”“预算超标”），授课教师通过系统实时查看进度并批注指导。存储任务ID、角色ID、关联HRP模块数据、学员操作日志等。</w:t>
            </w:r>
          </w:p>
        </w:tc>
      </w:tr>
      <w:tr w14:paraId="4D14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652CAB2">
            <w:pPr>
              <w:keepNext w:val="0"/>
              <w:keepLines w:val="0"/>
              <w:suppressLineNumbers w:val="0"/>
              <w:spacing w:before="0" w:beforeAutospacing="0" w:after="0" w:afterAutospacing="0" w:line="360" w:lineRule="exact"/>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2300" w:type="dxa"/>
            <w:vAlign w:val="center"/>
          </w:tcPr>
          <w:p w14:paraId="670B11C9">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HRP系统数据接口管理</w:t>
            </w:r>
          </w:p>
        </w:tc>
        <w:tc>
          <w:tcPr>
            <w:tcW w:w="6187" w:type="dxa"/>
            <w:vAlign w:val="center"/>
          </w:tcPr>
          <w:p w14:paraId="1C402044">
            <w:pPr>
              <w:keepNext w:val="0"/>
              <w:keepLines w:val="0"/>
              <w:suppressLineNumbers w:val="0"/>
              <w:spacing w:before="0" w:beforeAutospacing="0" w:after="0" w:afterAutospacing="0" w:line="360" w:lineRule="exact"/>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保障虚拟实操与案例分析的数据真实性，完善现有HRP系统数据共享能力。 对HRP系统原始数据（如财务数据、资产明细）进行脱敏处理（隐藏具体金额、人员姓名等敏感信息），保留业务逻辑（如数据关系、流程节点），确保虚拟实操环境数据与真实业务数据逻辑一致。开发标准化接口，抽取HRP系统预算表、成本表、资产表等核心数据，转换为实训系统可识别格式，存储于实训基础数据库。</w:t>
            </w:r>
          </w:p>
        </w:tc>
      </w:tr>
    </w:tbl>
    <w:p w14:paraId="0AADA149">
      <w:pPr>
        <w:rPr>
          <w:rFonts w:hint="eastAsia" w:ascii="宋体" w:hAnsi="宋体" w:eastAsia="宋体" w:cs="宋体"/>
          <w:sz w:val="24"/>
          <w:szCs w:val="24"/>
        </w:rPr>
      </w:pPr>
    </w:p>
    <w:p w14:paraId="3A6C8A94">
      <w:pPr>
        <w:widowControl/>
        <w:spacing w:line="360" w:lineRule="auto"/>
        <w:ind w:left="0" w:leftChars="0" w:firstLine="0" w:firstLineChars="0"/>
        <w:jc w:val="left"/>
        <w:outlineLvl w:val="2"/>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二、主要系统应用</w:t>
      </w:r>
    </w:p>
    <w:tbl>
      <w:tblPr>
        <w:tblStyle w:val="7"/>
        <w:tblpPr w:leftFromText="180" w:rightFromText="180" w:vertAnchor="text" w:horzAnchor="page" w:tblpX="1650" w:tblpY="747"/>
        <w:tblOverlap w:val="never"/>
        <w:tblW w:w="8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1700"/>
        <w:gridCol w:w="6167"/>
      </w:tblGrid>
      <w:tr w14:paraId="63E1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5771">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模块</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B6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核心功能</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FB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详细实训内容</w:t>
            </w:r>
          </w:p>
        </w:tc>
      </w:tr>
      <w:tr w14:paraId="546B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6A02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会计核算实训模块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5354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医院专属核算流程</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45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1. </w:t>
            </w:r>
            <w:r>
              <w:rPr>
                <w:rStyle w:val="8"/>
                <w:rFonts w:hint="eastAsia" w:ascii="宋体" w:hAnsi="宋体" w:eastAsia="宋体" w:cs="宋体"/>
                <w:color w:val="auto"/>
                <w:sz w:val="24"/>
                <w:szCs w:val="24"/>
                <w:highlight w:val="none"/>
                <w:u w:val="none"/>
                <w:lang w:val="en-US" w:eastAsia="zh-CN" w:bidi="ar"/>
              </w:rPr>
              <w:t>收入核算：门诊 / 住院收入确认（按项目 / 病种 / 科室）、医保结算收入拆分、科研经费核算；</w:t>
            </w:r>
          </w:p>
        </w:tc>
      </w:tr>
      <w:tr w14:paraId="0E8C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52B2">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E52E">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7AB">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2. </w:t>
            </w:r>
            <w:r>
              <w:rPr>
                <w:rStyle w:val="8"/>
                <w:rFonts w:hint="eastAsia" w:ascii="宋体" w:hAnsi="宋体" w:eastAsia="宋体" w:cs="宋体"/>
                <w:color w:val="auto"/>
                <w:sz w:val="24"/>
                <w:szCs w:val="24"/>
                <w:highlight w:val="none"/>
                <w:u w:val="none"/>
                <w:lang w:val="en-US" w:eastAsia="zh-CN" w:bidi="ar"/>
              </w:rPr>
              <w:t>成本核算：药品 / 耗材成本分摊（直接 / 间接成本）、科室成本结转、单病种成本核算；</w:t>
            </w:r>
          </w:p>
        </w:tc>
      </w:tr>
      <w:tr w14:paraId="5290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B19C">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E418">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ACA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3. </w:t>
            </w:r>
            <w:r>
              <w:rPr>
                <w:rStyle w:val="8"/>
                <w:rFonts w:hint="eastAsia" w:ascii="宋体" w:hAnsi="宋体" w:eastAsia="宋体" w:cs="宋体"/>
                <w:color w:val="auto"/>
                <w:sz w:val="24"/>
                <w:szCs w:val="24"/>
                <w:highlight w:val="none"/>
                <w:u w:val="none"/>
                <w:lang w:val="en-US" w:eastAsia="zh-CN" w:bidi="ar"/>
              </w:rPr>
              <w:t>账务处理：会计凭证自动生成（对接业务数据）、账簿登记（总账 / 明细账 / 日记账）、期末结账（结转损益、对账）；</w:t>
            </w:r>
          </w:p>
        </w:tc>
      </w:tr>
      <w:tr w14:paraId="40C0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5281">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C800">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E355">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4. </w:t>
            </w:r>
            <w:r>
              <w:rPr>
                <w:rStyle w:val="8"/>
                <w:rFonts w:hint="eastAsia" w:ascii="宋体" w:hAnsi="宋体" w:eastAsia="宋体" w:cs="宋体"/>
                <w:color w:val="auto"/>
                <w:sz w:val="24"/>
                <w:szCs w:val="24"/>
                <w:highlight w:val="none"/>
                <w:u w:val="none"/>
                <w:lang w:val="en-US" w:eastAsia="zh-CN" w:bidi="ar"/>
              </w:rPr>
              <w:t>报表编制：资产负债表、收支结余表、医疗收入明细表等≥15 类医院财务报表</w:t>
            </w:r>
          </w:p>
        </w:tc>
      </w:tr>
      <w:tr w14:paraId="073D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C8A2F">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全面预算管理实训模块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E71C">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预算编制全流程</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F7A5">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1. </w:t>
            </w:r>
            <w:r>
              <w:rPr>
                <w:rStyle w:val="8"/>
                <w:rFonts w:hint="eastAsia" w:ascii="宋体" w:hAnsi="宋体" w:eastAsia="宋体" w:cs="宋体"/>
                <w:color w:val="auto"/>
                <w:sz w:val="24"/>
                <w:szCs w:val="24"/>
                <w:highlight w:val="none"/>
                <w:u w:val="none"/>
                <w:lang w:val="en-US" w:eastAsia="zh-CN" w:bidi="ar"/>
              </w:rPr>
              <w:t>预算编制：科室预算（人力、耗材、设备）、项目预算（新院区建设、设备采购）、年度总预算（收入 / 支出 / 现金流）；预算编制模板≥20 类（覆盖各科室 / 项目）</w:t>
            </w:r>
          </w:p>
        </w:tc>
      </w:tr>
      <w:tr w14:paraId="5956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3BCA">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60736">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024A">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2. </w:t>
            </w:r>
            <w:r>
              <w:rPr>
                <w:rStyle w:val="8"/>
                <w:rFonts w:hint="eastAsia" w:ascii="宋体" w:hAnsi="宋体" w:eastAsia="宋体" w:cs="宋体"/>
                <w:color w:val="auto"/>
                <w:sz w:val="24"/>
                <w:szCs w:val="24"/>
                <w:highlight w:val="none"/>
                <w:u w:val="none"/>
                <w:lang w:val="en-US" w:eastAsia="zh-CN" w:bidi="ar"/>
              </w:rPr>
              <w:t>预算测算：基于历史数据（近 3 年业务量、成本数据）+ 场景模拟（医保政策调整、业务量增长）开展多维度测算；测算模型支持≥5 种场景模拟，误差率≤3%</w:t>
            </w:r>
          </w:p>
        </w:tc>
      </w:tr>
      <w:tr w14:paraId="43EC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3385">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E4D6">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1FAA">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3. </w:t>
            </w:r>
            <w:r>
              <w:rPr>
                <w:rStyle w:val="8"/>
                <w:rFonts w:hint="eastAsia" w:ascii="宋体" w:hAnsi="宋体" w:eastAsia="宋体" w:cs="宋体"/>
                <w:color w:val="auto"/>
                <w:sz w:val="24"/>
                <w:szCs w:val="24"/>
                <w:highlight w:val="none"/>
                <w:lang w:val="en-US" w:eastAsia="zh-CN" w:bidi="ar"/>
              </w:rPr>
              <w:t>预算审批：线上审批流程（科室→职能部门→院级），支持审批意见录入与追溯；审批流程支持自定义配置（节点、角色、时限）</w:t>
            </w:r>
          </w:p>
        </w:tc>
      </w:tr>
      <w:tr w14:paraId="100B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A9CF">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65025">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预算执行与管控</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DED">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执行跟踪：实时监控预算执行进度（按科室 / 项目 / 科目），超支预警（预警阈值可自定义）；</w:t>
            </w:r>
          </w:p>
        </w:tc>
      </w:tr>
      <w:tr w14:paraId="1E6B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3DB6">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F84E">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BA1D">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偏差分析：对比实际执行与预算数据，分析偏差原因（价格波动、业务量变化、管理漏洞）；</w:t>
            </w:r>
          </w:p>
        </w:tc>
      </w:tr>
      <w:tr w14:paraId="0797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D557">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D072">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24CA">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预算调剂：跨科室 / 跨项目调剂申请、审批，调剂记录全程追溯</w:t>
            </w:r>
          </w:p>
        </w:tc>
      </w:tr>
      <w:tr w14:paraId="4D83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B6598">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智能报销管理实训模块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42C84">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报销全流程模拟</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C5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单据处理：报销单据上传（支持拍照 / 扫描）、智能识别（发票、公务消费凭证）、数据自动填充（金额、事由、对应预算科目）；</w:t>
            </w:r>
          </w:p>
        </w:tc>
      </w:tr>
      <w:tr w14:paraId="07E3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7906">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B5B5">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56F">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合规校验：对接预算系统（超预算自动预警）、医保合规规则（≥50 类违规场景识别）、发票真伪查验（对接国家税务平台接口）；</w:t>
            </w:r>
          </w:p>
        </w:tc>
      </w:tr>
      <w:tr w14:paraId="08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629A">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8DBE">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658">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审批与支付：线上审批流程（申请人→部门负责人→财务审核→出纳支付），支持支付方式选择（银行转账、公务卡）</w:t>
            </w:r>
          </w:p>
        </w:tc>
      </w:tr>
      <w:tr w14:paraId="13BE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3539">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BD974">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报销数据治理</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F04A">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报销数据标准化（字段统一、格式规范）；</w:t>
            </w:r>
          </w:p>
        </w:tc>
      </w:tr>
      <w:tr w14:paraId="4430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CDAB">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627E">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D1A1">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报销凭证电子归档（符合《会计档案管理办法》）</w:t>
            </w:r>
          </w:p>
        </w:tc>
      </w:tr>
      <w:tr w14:paraId="69DD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B73">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FA9AF">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合同全生命周期管理</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866">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合同起草：内置采购、服务、设备租赁等≥15 类医院标准合同模板，支持自定义修改；</w:t>
            </w:r>
          </w:p>
        </w:tc>
      </w:tr>
      <w:tr w14:paraId="475C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DF0B">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合同管理实训模块</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F7DF">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7FA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合同审核：线上审核流程（法务→财务→院级），支持条款批注、风险提示（≥30 类常见风险）；</w:t>
            </w:r>
          </w:p>
        </w:tc>
      </w:tr>
      <w:tr w14:paraId="6AB1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3AB5">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FBA79">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601">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合同履行：跟踪合同付款进度（对接财务系统）、履约情况（对接物流 / 业务系统），逾期预警（付款 / 履约逾期提前 3 天预警）；</w:t>
            </w:r>
          </w:p>
        </w:tc>
      </w:tr>
      <w:tr w14:paraId="76A4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0EB0">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2D11">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70B">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4. 合同归档：电子归档（合同扫描件 + 关键信息录入），支持按合同类型 / 金额 / 供应商检索</w:t>
            </w:r>
          </w:p>
        </w:tc>
      </w:tr>
      <w:tr w14:paraId="777A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E985">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D6BCD">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合同数据联动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BA02">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合同数据与财务支付、物流收货数据联动；</w:t>
            </w:r>
          </w:p>
        </w:tc>
      </w:tr>
      <w:tr w14:paraId="4B4D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22C6">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3B77">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F7F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合同统计分析（按类型、金额、供应商、履约率）</w:t>
            </w:r>
          </w:p>
        </w:tc>
      </w:tr>
      <w:tr w14:paraId="5235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D9591">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固定资产管理实训模块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074F4">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资产全流程管控</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C5D8">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资产入库：采购验收后自动录入台账（资产编码、名称、规格、金额、使用部门），支持 RFID / 二维码标签生成；</w:t>
            </w:r>
          </w:p>
        </w:tc>
      </w:tr>
      <w:tr w14:paraId="4723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CA86">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B585">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AA10">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资产使用：跨部门调配申请 / 审批、维修保养记录录入、折旧计提（支持年限平均法、工作量法）；</w:t>
            </w:r>
          </w:p>
        </w:tc>
      </w:tr>
      <w:tr w14:paraId="6BFB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CA26">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0134">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2E39">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资产盘点：支持扫码盘点、批量盘点，自动对比账实数据，生成盘盈 / 盘亏报告；</w:t>
            </w:r>
          </w:p>
        </w:tc>
      </w:tr>
      <w:tr w14:paraId="4CFA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FACF">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3654">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B5C">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4. 资产报废：报废申请、技术鉴定、审批、处置（拍卖 / 回收），处置收入核算</w:t>
            </w:r>
          </w:p>
        </w:tc>
      </w:tr>
      <w:tr w14:paraId="0D18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04B2">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35226">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资产数据治理与分析</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DD0">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资产编码统一（对接国家固定资产分类标准）；</w:t>
            </w:r>
          </w:p>
        </w:tc>
      </w:tr>
      <w:tr w14:paraId="70D9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91CE">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C913">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4399">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资产数据质量校验（完整性、准确性）；</w:t>
            </w:r>
          </w:p>
        </w:tc>
      </w:tr>
      <w:tr w14:paraId="2A45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6C28">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FA61C">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E3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资产分析（利用率、折旧率、投资回报率）</w:t>
            </w:r>
          </w:p>
        </w:tc>
      </w:tr>
      <w:tr w14:paraId="3664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DD008">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物流管理实训模块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EA90C">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物资全流程管理</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1B0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采购管理：采购计划制定（基于库存 + 需求预测）、供应商比价（≥3 家供应商报价对比）、采购订单生成与跟踪；</w:t>
            </w:r>
          </w:p>
        </w:tc>
      </w:tr>
      <w:tr w14:paraId="20F8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24DA">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AED9">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F6FF">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库存管理：入库验收（对接采购订单）、库存监控（短缺 / 积压预警）、库存盘点（定期 / 临时盘点）、科室领用（申请 / 审批 / 发放）；</w:t>
            </w:r>
          </w:p>
        </w:tc>
      </w:tr>
      <w:tr w14:paraId="3FD8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6CA9">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29D2">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74D6">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消耗核算：耗材消耗数据与财务成本核算联动，按科室 / 病种分摊消耗成本</w:t>
            </w:r>
          </w:p>
        </w:tc>
      </w:tr>
      <w:tr w14:paraId="5D07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36BB">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0A2BB">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物流数据治理与联动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7054">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1. </w:t>
            </w:r>
            <w:r>
              <w:rPr>
                <w:rStyle w:val="8"/>
                <w:rFonts w:hint="eastAsia" w:ascii="宋体" w:hAnsi="宋体" w:eastAsia="宋体" w:cs="宋体"/>
                <w:color w:val="auto"/>
                <w:sz w:val="24"/>
                <w:szCs w:val="24"/>
                <w:highlight w:val="none"/>
                <w:lang w:val="en-US" w:eastAsia="zh-CN" w:bidi="ar"/>
              </w:rPr>
              <w:t>耗材编码统一（对接国家医用耗材编码标准）；</w:t>
            </w:r>
          </w:p>
        </w:tc>
      </w:tr>
      <w:tr w14:paraId="5C4A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DA32">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A662">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5DA4">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 xml:space="preserve">2. </w:t>
            </w:r>
            <w:r>
              <w:rPr>
                <w:rStyle w:val="8"/>
                <w:rFonts w:hint="eastAsia" w:ascii="宋体" w:hAnsi="宋体" w:eastAsia="宋体" w:cs="宋体"/>
                <w:color w:val="auto"/>
                <w:sz w:val="24"/>
                <w:szCs w:val="24"/>
                <w:highlight w:val="none"/>
                <w:lang w:val="en-US" w:eastAsia="zh-CN" w:bidi="ar"/>
              </w:rPr>
              <w:t>物流数据与财务、临床系统联动（耗材领用→成本核算→绩效考核）</w:t>
            </w:r>
          </w:p>
        </w:tc>
      </w:tr>
      <w:tr w14:paraId="2A20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B85B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人力资源管理实训模块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8B30">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人力经济管理全流程</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141">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岗位与薪酬管理：岗位设置（基于科室需求）、薪酬结构设计（基本工资 + 绩效工资 + 津贴）、薪酬核算（对接考勤、工作量数据）；</w:t>
            </w:r>
          </w:p>
        </w:tc>
      </w:tr>
      <w:tr w14:paraId="3FFF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B7B5">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5774">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4FE6">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人力成本管理：人力成本预算编制、执行跟踪、偏差分析（对接财务预算系统）</w:t>
            </w:r>
          </w:p>
        </w:tc>
      </w:tr>
      <w:tr w14:paraId="4769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1458D">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6E048">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人力数据治理与分析</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425">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人力数据标准化（岗位编码、薪酬项目统一）；</w:t>
            </w:r>
          </w:p>
        </w:tc>
      </w:tr>
      <w:tr w14:paraId="239A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1FB9">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E6B8">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0EBE">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人力数据分析（人员结构、流失率、人力配置饱和度）</w:t>
            </w:r>
          </w:p>
        </w:tc>
      </w:tr>
      <w:tr w14:paraId="207B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0E79">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运营数据决策分析实训模块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B1322">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多维度数据整合分析</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2D4">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数据整合：整合财务、预算、资产、物流、人力等全维度数据，构建运营数据中心（ODR）；</w:t>
            </w:r>
          </w:p>
        </w:tc>
      </w:tr>
      <w:tr w14:paraId="5A0B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66A8">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9A90">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D483">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指标监测：实时跟踪核心运营指标（≥50 类），包括门诊量、平均住院日、药占比、耗材周转率、人力配置饱和度、预算执行率等；</w:t>
            </w:r>
          </w:p>
        </w:tc>
      </w:tr>
      <w:tr w14:paraId="29B7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BB71">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71AD">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7B2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3. 深度分析：科室运营效率分析、单病种成本效益分析、医保基金使用效率分析、设备投资回报率（ROI）分析</w:t>
            </w:r>
          </w:p>
        </w:tc>
      </w:tr>
      <w:tr w14:paraId="3537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6184">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1626D">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智能决策支持</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6FC8">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1. 场景模拟：模拟设备采购可行性分析、科室资源调剂、医保政策调整应对等场景；</w:t>
            </w:r>
          </w:p>
        </w:tc>
      </w:tr>
      <w:tr w14:paraId="3D55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684C">
            <w:pPr>
              <w:spacing w:line="360" w:lineRule="exact"/>
              <w:jc w:val="left"/>
              <w:rPr>
                <w:rFonts w:hint="eastAsia" w:ascii="宋体" w:hAnsi="宋体" w:eastAsia="宋体" w:cs="宋体"/>
                <w:i w:val="0"/>
                <w:iCs w:val="0"/>
                <w:color w:val="auto"/>
                <w:sz w:val="24"/>
                <w:szCs w:val="24"/>
                <w:highlight w:val="none"/>
                <w:u w:val="none"/>
                <w:lang w:bidi="ar"/>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A7B8">
            <w:pPr>
              <w:spacing w:line="360" w:lineRule="exact"/>
              <w:jc w:val="left"/>
              <w:rPr>
                <w:rFonts w:hint="eastAsia" w:ascii="宋体" w:hAnsi="宋体" w:eastAsia="宋体" w:cs="宋体"/>
                <w:i w:val="0"/>
                <w:iCs w:val="0"/>
                <w:color w:val="auto"/>
                <w:sz w:val="24"/>
                <w:szCs w:val="24"/>
                <w:highlight w:val="none"/>
                <w:u w:val="none"/>
                <w:lang w:bidi="ar"/>
              </w:rPr>
            </w:pP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A17">
            <w:pPr>
              <w:keepNext w:val="0"/>
              <w:keepLines w:val="0"/>
              <w:widowControl/>
              <w:suppressLineNumbers w:val="0"/>
              <w:spacing w:line="360" w:lineRule="exact"/>
              <w:jc w:val="left"/>
              <w:textAlignment w:val="auto"/>
              <w:rPr>
                <w:rFonts w:hint="eastAsia" w:ascii="宋体" w:hAnsi="宋体" w:eastAsia="宋体" w:cs="宋体"/>
                <w:i w:val="0"/>
                <w:iCs w:val="0"/>
                <w:color w:val="auto"/>
                <w:sz w:val="24"/>
                <w:szCs w:val="24"/>
                <w:highlight w:val="none"/>
                <w:u w:val="none"/>
                <w:lang w:bidi="ar"/>
              </w:rPr>
            </w:pPr>
            <w:r>
              <w:rPr>
                <w:rFonts w:hint="eastAsia" w:ascii="宋体" w:hAnsi="宋体" w:eastAsia="宋体" w:cs="宋体"/>
                <w:i w:val="0"/>
                <w:iCs w:val="0"/>
                <w:color w:val="auto"/>
                <w:kern w:val="2"/>
                <w:sz w:val="24"/>
                <w:szCs w:val="24"/>
                <w:highlight w:val="none"/>
                <w:u w:val="none"/>
                <w:lang w:val="en-US" w:eastAsia="zh-CN" w:bidi="ar"/>
              </w:rPr>
              <w:t>2. 前瞻预判：基于历史数据 + 实时趋势，预判预算缺口、耗材短缺、人力缺口等风险，提供优化建议</w:t>
            </w:r>
          </w:p>
        </w:tc>
      </w:tr>
    </w:tbl>
    <w:p w14:paraId="5EC2AE4D">
      <w:pPr>
        <w:rPr>
          <w:rFonts w:hint="eastAsia" w:ascii="宋体" w:hAnsi="宋体" w:eastAsia="宋体" w:cs="宋体"/>
          <w:sz w:val="24"/>
          <w:szCs w:val="24"/>
        </w:rPr>
      </w:pPr>
    </w:p>
    <w:p w14:paraId="55A77235">
      <w:pPr>
        <w:widowControl/>
        <w:spacing w:line="360" w:lineRule="auto"/>
        <w:ind w:left="0" w:leftChars="0" w:firstLine="0" w:firstLineChars="0"/>
        <w:jc w:val="left"/>
        <w:outlineLvl w:val="2"/>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三、技术路线</w:t>
      </w:r>
    </w:p>
    <w:p w14:paraId="005E7FE5">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本项目系统建设需要遵循如下技术路线：</w:t>
      </w:r>
    </w:p>
    <w:p w14:paraId="285F7ED9">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1.系统采用B/S架构：系统各模块需采用同一技术架构，在统一的底层基础平台上进行设计。医院综合运营管理平台、医院决策分析系统及医院管理层决策分析系统等均需采用B/S技术架构实现。</w:t>
      </w:r>
    </w:p>
    <w:p w14:paraId="12CDA888">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2.关键技术：根据医院综合运营管理的一体化应用功能需求和相关建设规范，考虑到系统运行的长远规划，以及整个系统的跨平台性、安全性、可靠性、稳定性、易维护性以及可扩展性，建议采用J2EE架构来设计。</w:t>
      </w:r>
    </w:p>
    <w:p w14:paraId="4FFABCD1">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3.先进性：系统要利用一些现行的、技术成熟的开发工具来辅助完成系统建设。</w:t>
      </w:r>
    </w:p>
    <w:p w14:paraId="73B20334">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4.安全性：信息安全要体现在信息管理全过程，建立全面的安全保障体系。按照国家有关信息系统安全定级和风险评估的方式，合理确定系统的安全等级，并根据安全等级的要求进行相应系统安全设计，确保系统的安全和可靠。</w:t>
      </w:r>
    </w:p>
    <w:p w14:paraId="029000D3">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5.灵活性：建立合理、多样、灵活的数据采集方式，满足不同发展水平的医疗单位的需要。</w:t>
      </w:r>
    </w:p>
    <w:p w14:paraId="78368A83">
      <w:pPr>
        <w:pStyle w:val="4"/>
        <w:spacing w:line="360" w:lineRule="auto"/>
        <w:ind w:firstLine="480" w:firstLineChars="200"/>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6.友好性：人机界面设计简洁美观、风格统一，利于基层业务人员简单操作。</w:t>
      </w:r>
    </w:p>
    <w:p w14:paraId="6D2E096D">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5F903">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03A03">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303A03">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A520">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1935"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419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5127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9.05pt;mso-position-horizontal:center;mso-position-horizontal-relative:margin;z-index:251660288;mso-width-relative:page;mso-height-relative:page;" filled="f" stroked="f" coordsize="21600,21600" o:gfxdata="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fXR7TAAAABAEAAA8AAAAAAAAAAQAgAAAAIgAAAGRycy9kb3ducmV2LnhtbFBL&#10;AQIUABQAAAAIAIdO4kCFkF5xNAIAAFgEAAAOAAAAAAAAAAEAIAAAACIBAABkcnMvZTJvRG9jLnht&#10;bFBLBQYAAAAABgAGAFkBAADIBQAAAAA=&#10;">
              <v:fill on="f" focussize="0,0"/>
              <v:stroke on="f" weight="0.5pt"/>
              <v:imagedata o:title=""/>
              <o:lock v:ext="edit" aspectratio="f"/>
              <v:textbox inset="0mm,0mm,0mm,0mm" style="mso-fit-shape-to-text:t;">
                <w:txbxContent>
                  <w:p w14:paraId="3815127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F0B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68A5F"/>
    <w:multiLevelType w:val="singleLevel"/>
    <w:tmpl w:val="C0268A5F"/>
    <w:lvl w:ilvl="0" w:tentative="0">
      <w:start w:val="1"/>
      <w:numFmt w:val="decimal"/>
      <w:lvlText w:val="%1."/>
      <w:lvlJc w:val="left"/>
      <w:pPr>
        <w:tabs>
          <w:tab w:val="left" w:pos="420"/>
        </w:tabs>
        <w:ind w:left="845" w:hanging="425"/>
      </w:pPr>
      <w:rPr>
        <w:rFonts w:hint="default"/>
      </w:rPr>
    </w:lvl>
  </w:abstractNum>
  <w:abstractNum w:abstractNumId="1">
    <w:nsid w:val="CA49BF0B"/>
    <w:multiLevelType w:val="singleLevel"/>
    <w:tmpl w:val="CA49BF0B"/>
    <w:lvl w:ilvl="0" w:tentative="0">
      <w:start w:val="1"/>
      <w:numFmt w:val="decimal"/>
      <w:lvlText w:val="%1."/>
      <w:lvlJc w:val="left"/>
      <w:pPr>
        <w:tabs>
          <w:tab w:val="left" w:pos="420"/>
        </w:tabs>
        <w:ind w:left="845" w:hanging="425"/>
      </w:pPr>
      <w:rPr>
        <w:rFonts w:hint="default"/>
      </w:rPr>
    </w:lvl>
  </w:abstractNum>
  <w:abstractNum w:abstractNumId="2">
    <w:nsid w:val="E60E942C"/>
    <w:multiLevelType w:val="singleLevel"/>
    <w:tmpl w:val="E60E942C"/>
    <w:lvl w:ilvl="0" w:tentative="0">
      <w:start w:val="1"/>
      <w:numFmt w:val="decimal"/>
      <w:lvlText w:val="%1."/>
      <w:lvlJc w:val="left"/>
      <w:pPr>
        <w:tabs>
          <w:tab w:val="left" w:pos="420"/>
        </w:tabs>
        <w:ind w:left="845" w:hanging="425"/>
      </w:pPr>
      <w:rPr>
        <w:rFonts w:hint="default"/>
      </w:rPr>
    </w:lvl>
  </w:abstractNum>
  <w:abstractNum w:abstractNumId="3">
    <w:nsid w:val="F0C670EB"/>
    <w:multiLevelType w:val="multilevel"/>
    <w:tmpl w:val="F0C670EB"/>
    <w:lvl w:ilvl="0" w:tentative="0">
      <w:start w:val="1"/>
      <w:numFmt w:val="decimal"/>
      <w:lvlText w:val="%1."/>
      <w:lvlJc w:val="left"/>
      <w:pPr>
        <w:tabs>
          <w:tab w:val="left" w:pos="459"/>
        </w:tabs>
        <w:ind w:left="738" w:leftChars="0" w:hanging="280" w:firstLineChars="0"/>
      </w:pPr>
      <w:rPr>
        <w:rFonts w:hint="default"/>
      </w:rPr>
    </w:lvl>
    <w:lvl w:ilvl="1" w:tentative="0">
      <w:start w:val="1"/>
      <w:numFmt w:val="decimal"/>
      <w:lvlText w:val="(%2)"/>
      <w:lvlJc w:val="left"/>
      <w:pPr>
        <w:tabs>
          <w:tab w:val="left" w:pos="840"/>
        </w:tabs>
        <w:ind w:left="1298" w:leftChars="0" w:hanging="420" w:firstLineChars="0"/>
      </w:pPr>
      <w:rPr>
        <w:rFonts w:hint="default"/>
      </w:rPr>
    </w:lvl>
    <w:lvl w:ilvl="2" w:tentative="0">
      <w:start w:val="1"/>
      <w:numFmt w:val="decimalEnclosedCircleChinese"/>
      <w:lvlText w:val="%3"/>
      <w:lvlJc w:val="left"/>
      <w:pPr>
        <w:tabs>
          <w:tab w:val="left" w:pos="1260"/>
        </w:tabs>
        <w:ind w:left="1718" w:leftChars="0" w:hanging="420" w:firstLineChars="0"/>
      </w:pPr>
      <w:rPr>
        <w:rFonts w:hint="default"/>
      </w:rPr>
    </w:lvl>
    <w:lvl w:ilvl="3" w:tentative="0">
      <w:start w:val="1"/>
      <w:numFmt w:val="decimal"/>
      <w:lvlText w:val="%4)"/>
      <w:lvlJc w:val="left"/>
      <w:pPr>
        <w:tabs>
          <w:tab w:val="left" w:pos="1680"/>
        </w:tabs>
        <w:ind w:left="2138" w:leftChars="0" w:hanging="420" w:firstLineChars="0"/>
      </w:pPr>
      <w:rPr>
        <w:rFonts w:hint="default"/>
      </w:rPr>
    </w:lvl>
    <w:lvl w:ilvl="4" w:tentative="0">
      <w:start w:val="1"/>
      <w:numFmt w:val="lowerLetter"/>
      <w:lvlText w:val="%5."/>
      <w:lvlJc w:val="left"/>
      <w:pPr>
        <w:tabs>
          <w:tab w:val="left" w:pos="2100"/>
        </w:tabs>
        <w:ind w:left="2558" w:leftChars="0" w:hanging="420" w:firstLineChars="0"/>
      </w:pPr>
      <w:rPr>
        <w:rFonts w:hint="default"/>
      </w:rPr>
    </w:lvl>
    <w:lvl w:ilvl="5" w:tentative="0">
      <w:start w:val="1"/>
      <w:numFmt w:val="lowerLetter"/>
      <w:lvlText w:val="%6)"/>
      <w:lvlJc w:val="left"/>
      <w:pPr>
        <w:tabs>
          <w:tab w:val="left" w:pos="2520"/>
        </w:tabs>
        <w:ind w:left="2978" w:leftChars="0" w:hanging="420" w:firstLineChars="0"/>
      </w:pPr>
      <w:rPr>
        <w:rFonts w:hint="default"/>
      </w:rPr>
    </w:lvl>
    <w:lvl w:ilvl="6" w:tentative="0">
      <w:start w:val="1"/>
      <w:numFmt w:val="lowerRoman"/>
      <w:lvlText w:val="%7."/>
      <w:lvlJc w:val="left"/>
      <w:pPr>
        <w:tabs>
          <w:tab w:val="left" w:pos="2940"/>
        </w:tabs>
        <w:ind w:left="3398" w:leftChars="0" w:hanging="420" w:firstLineChars="0"/>
      </w:pPr>
      <w:rPr>
        <w:rFonts w:hint="default"/>
      </w:rPr>
    </w:lvl>
    <w:lvl w:ilvl="7" w:tentative="0">
      <w:start w:val="1"/>
      <w:numFmt w:val="lowerRoman"/>
      <w:lvlText w:val="%8)"/>
      <w:lvlJc w:val="left"/>
      <w:pPr>
        <w:tabs>
          <w:tab w:val="left" w:pos="3360"/>
        </w:tabs>
        <w:ind w:left="3818" w:leftChars="0" w:hanging="420" w:firstLineChars="0"/>
      </w:pPr>
      <w:rPr>
        <w:rFonts w:hint="default"/>
      </w:rPr>
    </w:lvl>
    <w:lvl w:ilvl="8" w:tentative="0">
      <w:start w:val="1"/>
      <w:numFmt w:val="lowerLetter"/>
      <w:lvlText w:val="%9."/>
      <w:lvlJc w:val="left"/>
      <w:pPr>
        <w:tabs>
          <w:tab w:val="left" w:pos="3780"/>
        </w:tabs>
        <w:ind w:left="4238" w:leftChars="0" w:hanging="420" w:firstLineChars="0"/>
      </w:pPr>
      <w:rPr>
        <w:rFonts w:hint="default"/>
      </w:rPr>
    </w:lvl>
  </w:abstractNum>
  <w:abstractNum w:abstractNumId="4">
    <w:nsid w:val="0F844D7D"/>
    <w:multiLevelType w:val="multilevel"/>
    <w:tmpl w:val="0F844D7D"/>
    <w:lvl w:ilvl="0" w:tentative="0">
      <w:start w:val="1"/>
      <w:numFmt w:val="decimal"/>
      <w:lvlText w:val="%1、"/>
      <w:lvlJc w:val="left"/>
      <w:pPr>
        <w:ind w:left="432" w:hanging="432"/>
      </w:pPr>
      <w:rPr>
        <w:rFonts w:hint="default" w:ascii="微软雅黑" w:hAnsi="微软雅黑" w:eastAsia="微软雅黑" w:cs="微软雅黑"/>
      </w:rPr>
    </w:lvl>
    <w:lvl w:ilvl="1" w:tentative="0">
      <w:start w:val="1"/>
      <w:numFmt w:val="decimal"/>
      <w:pStyle w:val="2"/>
      <w:lvlText w:val="%1.%2、"/>
      <w:lvlJc w:val="left"/>
      <w:pPr>
        <w:ind w:left="575" w:hanging="575"/>
      </w:pPr>
      <w:rPr>
        <w:rFonts w:hint="default" w:ascii="微软雅黑" w:hAnsi="微软雅黑" w:eastAsia="微软雅黑" w:cs="微软雅黑"/>
      </w:rPr>
    </w:lvl>
    <w:lvl w:ilvl="2" w:tentative="0">
      <w:start w:val="1"/>
      <w:numFmt w:val="decimal"/>
      <w:pStyle w:val="3"/>
      <w:lvlText w:val="%1.%2.%3、"/>
      <w:lvlJc w:val="left"/>
      <w:pPr>
        <w:ind w:left="720" w:hanging="720"/>
      </w:pPr>
      <w:rPr>
        <w:rFonts w:hint="default" w:ascii="微软雅黑" w:hAnsi="微软雅黑" w:eastAsia="微软雅黑" w:cs="微软雅黑"/>
      </w:rPr>
    </w:lvl>
    <w:lvl w:ilvl="3" w:tentative="0">
      <w:start w:val="1"/>
      <w:numFmt w:val="decimal"/>
      <w:lvlText w:val="%1.%2.%3.%4、"/>
      <w:lvlJc w:val="left"/>
      <w:pPr>
        <w:ind w:left="864" w:hanging="864"/>
      </w:pPr>
      <w:rPr>
        <w:rFonts w:hint="default" w:ascii="微软雅黑" w:hAnsi="微软雅黑" w:eastAsia="微软雅黑" w:cs="微软雅黑"/>
      </w:rPr>
    </w:lvl>
    <w:lvl w:ilvl="4" w:tentative="0">
      <w:start w:val="1"/>
      <w:numFmt w:val="decimal"/>
      <w:lvlText w:val="%1.%2.%3.%4.%5、"/>
      <w:lvlJc w:val="left"/>
      <w:pPr>
        <w:ind w:left="1008" w:hanging="1008"/>
      </w:pPr>
      <w:rPr>
        <w:rFonts w:hint="default" w:ascii="微软雅黑" w:hAnsi="微软雅黑" w:eastAsia="微软雅黑" w:cs="微软雅黑"/>
      </w:rPr>
    </w:lvl>
    <w:lvl w:ilvl="5" w:tentative="0">
      <w:start w:val="1"/>
      <w:numFmt w:val="decimal"/>
      <w:lvlText w:val="%1.%2.%3.%4.%5.%6、"/>
      <w:lvlJc w:val="left"/>
      <w:pPr>
        <w:ind w:left="1151" w:hanging="1151"/>
      </w:pPr>
      <w:rPr>
        <w:rFonts w:hint="default" w:ascii="微软雅黑" w:hAnsi="微软雅黑" w:eastAsia="微软雅黑" w:cs="微软雅黑"/>
      </w:rPr>
    </w:lvl>
    <w:lvl w:ilvl="6" w:tentative="0">
      <w:start w:val="1"/>
      <w:numFmt w:val="decimal"/>
      <w:lvlText w:val="%1.%2.%3.%4.%5.%6.%7、"/>
      <w:lvlJc w:val="left"/>
      <w:pPr>
        <w:ind w:left="1296" w:hanging="1296"/>
      </w:pPr>
      <w:rPr>
        <w:rFonts w:hint="default" w:ascii="微软雅黑" w:hAnsi="微软雅黑" w:eastAsia="微软雅黑" w:cs="微软雅黑"/>
      </w:rPr>
    </w:lvl>
    <w:lvl w:ilvl="7" w:tentative="0">
      <w:start w:val="1"/>
      <w:numFmt w:val="decimal"/>
      <w:lvlText w:val="%1.%2.%3.%4.%5.%6.%7.%8、"/>
      <w:lvlJc w:val="left"/>
      <w:pPr>
        <w:ind w:left="1440" w:hanging="1440"/>
      </w:pPr>
      <w:rPr>
        <w:rFonts w:hint="default" w:ascii="微软雅黑" w:hAnsi="微软雅黑" w:eastAsia="微软雅黑" w:cs="微软雅黑"/>
      </w:rPr>
    </w:lvl>
    <w:lvl w:ilvl="8" w:tentative="0">
      <w:start w:val="1"/>
      <w:numFmt w:val="decimal"/>
      <w:lvlText w:val="%1.%2.%3.%4.%5.%6.%7.%8.%9、"/>
      <w:lvlJc w:val="left"/>
      <w:pPr>
        <w:ind w:left="1583" w:hanging="1583"/>
      </w:pPr>
      <w:rPr>
        <w:rFonts w:hint="default" w:ascii="微软雅黑" w:hAnsi="微软雅黑" w:eastAsia="微软雅黑" w:cs="微软雅黑"/>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ZjMTc3ZWUyNGIyMWJkZWFhMWViMjNmZDlhYzEifQ=="/>
  </w:docVars>
  <w:rsids>
    <w:rsidRoot w:val="68E12E40"/>
    <w:rsid w:val="01A53CCC"/>
    <w:rsid w:val="04A01725"/>
    <w:rsid w:val="182211B5"/>
    <w:rsid w:val="5EF14F66"/>
    <w:rsid w:val="67E85689"/>
    <w:rsid w:val="68E12E40"/>
    <w:rsid w:val="6D646648"/>
    <w:rsid w:val="721D1679"/>
    <w:rsid w:val="75203C8C"/>
    <w:rsid w:val="75CE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8"/>
      <w:lang w:val="en-US" w:eastAsia="zh-CN" w:bidi="ar-SA"/>
    </w:rPr>
  </w:style>
  <w:style w:type="paragraph" w:styleId="2">
    <w:name w:val="heading 2"/>
    <w:basedOn w:val="1"/>
    <w:next w:val="1"/>
    <w:unhideWhenUsed/>
    <w:qFormat/>
    <w:uiPriority w:val="0"/>
    <w:pPr>
      <w:keepNext/>
      <w:keepLines/>
      <w:numPr>
        <w:ilvl w:val="1"/>
        <w:numId w:val="1"/>
      </w:numPr>
      <w:spacing w:before="100" w:after="100" w:line="360" w:lineRule="auto"/>
      <w:ind w:left="575" w:hanging="575"/>
      <w:outlineLvl w:val="1"/>
    </w:pPr>
    <w:rPr>
      <w:rFonts w:ascii="微软雅黑" w:hAnsi="微软雅黑" w:eastAsia="微软雅黑" w:cs="微软雅黑"/>
      <w:b/>
      <w:bCs/>
      <w:sz w:val="32"/>
      <w:szCs w:val="32"/>
    </w:rPr>
  </w:style>
  <w:style w:type="paragraph" w:styleId="3">
    <w:name w:val="heading 3"/>
    <w:basedOn w:val="1"/>
    <w:next w:val="1"/>
    <w:qFormat/>
    <w:uiPriority w:val="0"/>
    <w:pPr>
      <w:keepNext/>
      <w:keepLines/>
      <w:numPr>
        <w:ilvl w:val="2"/>
        <w:numId w:val="1"/>
      </w:numPr>
      <w:tabs>
        <w:tab w:val="left" w:pos="0"/>
      </w:tabs>
      <w:spacing w:before="50" w:beforeLines="50"/>
      <w:ind w:left="720" w:hanging="720"/>
      <w:outlineLvl w:val="2"/>
    </w:pPr>
    <w:rPr>
      <w:rFonts w:ascii="微软雅黑" w:hAnsi="微软雅黑" w:eastAsia="微软雅黑" w:cs="微软雅黑"/>
      <w:b/>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3421</Words>
  <Characters>3479</Characters>
  <Lines>0</Lines>
  <Paragraphs>0</Paragraphs>
  <TotalTime>2459</TotalTime>
  <ScaleCrop>false</ScaleCrop>
  <LinksUpToDate>false</LinksUpToDate>
  <CharactersWithSpaces>3526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2025-12-02T01:01:00Z</dcterms:created>
  <dc:creator>徐阳洋</dc:creator>
  <cp:lastModifiedBy>曾凡荣</cp:lastModifiedBy>
  <dcterms:modified xsi:type="dcterms:W3CDTF">2025-12-04T02:28:22Z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3923A7E39999446087F0DF1758D800FA_13</vt:lpwstr>
  </property>
  <property fmtid="{D5CDD505-2E9C-101B-9397-08002B2CF9AE}" pid="4" name="KSOTemplateDocerSaveRecord">
    <vt:lpwstr>eyJoZGlkIjoiMDEzMmVlYmFmMzI1NDMzMmQwMTg3NWYxOTE4MDJkYTQiLCJ1c2VySWQiOiIxNTU4MTIxMjA3In0=</vt:lpwstr>
  </property>
</Properties>
</file>