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22666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）在提供的方案预算内，方案从专家咨询与规划服务、攻击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面测绘分析、风险评估、渗透测试、系统上线安全测试、源代码审计、数据安全评估、威胁预警、安全漏洞扫描及验证、网络安全巡检、重要时期网络安全保障、应急处置、威胁情报联防阻断、APP的安全检测、应用主机防护服务、终端及主机防病毒、管理规范咨询建设、网络安全培训、人员驻场等方面进行设计，本着变被动防护为主动防御、变静态防护为动态防御、变单点防护为整体防控、有效应对网络安全威胁，识别大风险、消除大隐患，确保全医院信息系统稳定运行。</w:t>
      </w:r>
    </w:p>
    <w:tbl>
      <w:tblPr>
        <w:tblStyle w:val="4"/>
        <w:tblpPr w:leftFromText="180" w:rightFromText="180" w:vertAnchor="text" w:horzAnchor="page" w:tblpX="890" w:tblpY="1220"/>
        <w:tblOverlap w:val="never"/>
        <w:tblW w:w="10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0"/>
        <w:gridCol w:w="2935"/>
        <w:gridCol w:w="2402"/>
        <w:gridCol w:w="2000"/>
        <w:gridCol w:w="1323"/>
      </w:tblGrid>
      <w:tr w14:paraId="58C9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0" w:type="dxa"/>
            <w:shd w:val="clear" w:color="auto" w:fill="A4A4A4" w:themeFill="background1" w:themeFillShade="A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160844">
            <w:pPr>
              <w:spacing w:before="120" w:after="120" w:line="288" w:lineRule="auto"/>
              <w:ind w:left="0"/>
              <w:jc w:val="center"/>
              <w:rPr>
                <w:b/>
                <w:bCs/>
                <w:color w:val="auto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sz w:val="22"/>
              </w:rPr>
              <w:t>服务模块</w:t>
            </w:r>
          </w:p>
        </w:tc>
        <w:tc>
          <w:tcPr>
            <w:tcW w:w="2935" w:type="dxa"/>
            <w:shd w:val="clear" w:color="auto" w:fill="A4A4A4" w:themeFill="background1" w:themeFillShade="A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035BC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b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color w:val="auto"/>
                <w:sz w:val="22"/>
                <w:lang w:val="en-US" w:eastAsia="zh-CN"/>
              </w:rPr>
              <w:t>服务内容</w:t>
            </w:r>
          </w:p>
        </w:tc>
        <w:tc>
          <w:tcPr>
            <w:tcW w:w="2402" w:type="dxa"/>
            <w:shd w:val="clear" w:color="auto" w:fill="A4A4A4" w:themeFill="background1" w:themeFillShade="A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5083D">
            <w:pPr>
              <w:spacing w:before="120" w:after="120" w:line="288" w:lineRule="auto"/>
              <w:ind w:left="0"/>
              <w:jc w:val="center"/>
              <w:rPr>
                <w:b/>
                <w:bCs/>
                <w:color w:val="auto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sz w:val="22"/>
              </w:rPr>
              <w:t>第1年重点任务</w:t>
            </w:r>
          </w:p>
        </w:tc>
        <w:tc>
          <w:tcPr>
            <w:tcW w:w="2000" w:type="dxa"/>
            <w:shd w:val="clear" w:color="auto" w:fill="A4A4A4" w:themeFill="background1" w:themeFillShade="A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B7EBE">
            <w:pPr>
              <w:spacing w:before="120" w:after="120" w:line="288" w:lineRule="auto"/>
              <w:ind w:left="0"/>
              <w:jc w:val="center"/>
              <w:rPr>
                <w:b/>
                <w:bCs/>
                <w:color w:val="auto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sz w:val="22"/>
              </w:rPr>
              <w:t>第2-3年重点任务</w:t>
            </w:r>
          </w:p>
        </w:tc>
        <w:tc>
          <w:tcPr>
            <w:tcW w:w="1323" w:type="dxa"/>
            <w:shd w:val="clear" w:color="auto" w:fill="A4A4A4" w:themeFill="background1" w:themeFillShade="A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C99AB">
            <w:pPr>
              <w:spacing w:before="120" w:after="120" w:line="288" w:lineRule="auto"/>
              <w:ind w:left="0"/>
              <w:jc w:val="center"/>
              <w:rPr>
                <w:b/>
                <w:bCs/>
                <w:color w:val="auto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sz w:val="22"/>
              </w:rPr>
              <w:t>服务期限</w:t>
            </w:r>
          </w:p>
        </w:tc>
      </w:tr>
      <w:tr w14:paraId="634D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0B97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实战化安全运营服务</w:t>
            </w:r>
          </w:p>
        </w:tc>
        <w:tc>
          <w:tcPr>
            <w:tcW w:w="29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5C95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、资产与攻击面管理</w:t>
            </w:r>
          </w:p>
          <w:p w14:paraId="182BA081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开展资产上线前攻击面预评估与风险熔断、动态攻击面测绘服务，聚焦医疗设备、系统、数据资产的全生命周期安全管理，降低暴露风险。</w:t>
            </w:r>
          </w:p>
          <w:p w14:paraId="62B37713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、全生命周期漏洞治理</w:t>
            </w:r>
          </w:p>
          <w:p w14:paraId="27333B2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开展ATT&amp;CK 驱动的全生命周期漏洞治理、主机/终端安全防御体系搭建，基于 ATT&amp;CK 框架构建主动防御体系服务，覆盖端侧漏洞发现、修复到验证的全流程，提升医院漏洞治理水平。</w:t>
            </w:r>
          </w:p>
          <w:p w14:paraId="60F7A94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、实战化防御与红蓝对抗</w:t>
            </w:r>
          </w:p>
          <w:p w14:paraId="49FC18D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开展红蓝对抗安全防御体系验证及优化、护网实战协同防御、实战化能力锻造营建设，”实战化学+练“验证防御体系有效性，提升医院应对真实攻击的能力。</w:t>
            </w:r>
          </w:p>
          <w:p w14:paraId="237A660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、应急响应与安全运营</w:t>
            </w:r>
          </w:p>
          <w:p w14:paraId="66BFB86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开展安全告警日志的威胁狩猎与溯源取证、应急体系建设及闭环服务、场景化应急推演，保障医疗业务连续性，快速处置安全事件并追溯攻击源头。</w:t>
            </w:r>
          </w:p>
          <w:p w14:paraId="59A95371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、实用化安全管理制度修编</w:t>
            </w:r>
          </w:p>
          <w:p w14:paraId="329E14D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开展实用化安全管理体系修编服务，完善医疗行业安全管理体系，实战、合规双轮驱动保障患者隐私和敏感数据安全。</w:t>
            </w:r>
          </w:p>
        </w:tc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FD2BE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搭建7×24小时监控体系，建立基础威胁检测规则，完成安全运营流程梳理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0CC3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优化检测规则，开展实战化演练，深化安全态势分析，输出专项优化报告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1D6B3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每年持续服务</w:t>
            </w:r>
          </w:p>
        </w:tc>
      </w:tr>
      <w:tr w14:paraId="6259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15DF6F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网络安全等级保护测评服务</w:t>
            </w:r>
          </w:p>
        </w:tc>
        <w:tc>
          <w:tcPr>
            <w:tcW w:w="29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296B0F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、网络安全等级保护测评</w:t>
            </w:r>
          </w:p>
          <w:p w14:paraId="4DCC887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针对医院信息系统提供专业全面的网络安全等级保护测评服务，出具符合网络安全等级保护要求的权威测评报告，合规驱动有效发现医院网络安全中存在的薄弱点。</w:t>
            </w:r>
          </w:p>
          <w:p w14:paraId="4F7BAF4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、网络安全等级保护保护工作方案建设</w:t>
            </w:r>
          </w:p>
          <w:p w14:paraId="3C53141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基于等级保护测评结果，结合医疗行业网络安全防护人员意识淡薄、第三方供应链存在较高风险、漏洞修复不及时、系统架构复杂难管控的特点，对医院发现的问题建设切实可落地的工作方案，助力医院网络安全建设水平稳步提升。</w:t>
            </w:r>
          </w:p>
        </w:tc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D5F24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完成8个三级系统首次全面测评，出具合格报告并备案，制定整改方案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057EE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开展年度复评，跟踪整改效果，完善合规性材料，应对主管部门检查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2EF3C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每年1次</w:t>
            </w:r>
          </w:p>
        </w:tc>
      </w:tr>
      <w:tr w14:paraId="652C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9FD5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服务工具</w:t>
            </w:r>
          </w:p>
        </w:tc>
        <w:tc>
          <w:tcPr>
            <w:tcW w:w="29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322D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提供主机/终端安全工具，终端安全工具授权不少于3000个，主机安全工具授权不少于500个；提供API风险监测预警工具，实时采集流量，识别接口，监测异常并预警。</w:t>
            </w:r>
          </w:p>
        </w:tc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A87F9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完成主机/终端安全工具、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态势感知系统、威胁防护系统、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API监测工具部署与授权，完成基础配置调试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BCE75E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工具版本升级，优化策略配置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0C2C3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每年授权维护</w:t>
            </w:r>
          </w:p>
        </w:tc>
      </w:tr>
      <w:tr w14:paraId="7AF2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56A5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安全设备授权及规则库系统升级服务</w:t>
            </w:r>
          </w:p>
        </w:tc>
        <w:tc>
          <w:tcPr>
            <w:tcW w:w="29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FA74E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 提供安全态势感知系统在项目服务期内情报库、规则库授权及实时更新  2. 威胁防护系统在项目服务期内情报库、规则库授权及实时更新  3. 提供系统升级后的功能验证与操作培训</w:t>
            </w:r>
          </w:p>
        </w:tc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AE6E7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完成对现有安全态势感知系统及威胁防护系统授权及规则库升级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BB386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工具版本升级，优化策略配置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328A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每年授权维护</w:t>
            </w:r>
          </w:p>
        </w:tc>
      </w:tr>
      <w:tr w14:paraId="0556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D26541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安全管理平台</w:t>
            </w:r>
          </w:p>
        </w:tc>
        <w:tc>
          <w:tcPr>
            <w:tcW w:w="29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692B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管理平台集资产管理、漏洞管理、工单管理等核心功能。智能化盘点资产，可视化呈现分布状态，掌握全生命周期动态；漏洞扫描评估并闭环处置，结合情报快速定位问题；工单自定义流程，提效任务协作。数据驱动构建集中化安全体系，降风险、强防护。</w:t>
            </w:r>
          </w:p>
        </w:tc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5C394F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完成平台部署与基础定制，实现资产、漏洞、工单核心功能上线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D84F9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拓展平台功能模块，实现与现有业务系统对接，提升数据可视化与智能化分析能力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2C4AD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每年运维升级</w:t>
            </w:r>
          </w:p>
        </w:tc>
      </w:tr>
      <w:tr w14:paraId="4B0E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67E9F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驻场安全运维</w:t>
            </w:r>
          </w:p>
        </w:tc>
        <w:tc>
          <w:tcPr>
            <w:tcW w:w="29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20BAE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驻场人员资质保障：</w:t>
            </w:r>
          </w:p>
          <w:p w14:paraId="2E75B99D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1、具备CISP</w:t>
            </w:r>
          </w:p>
          <w:p w14:paraId="08FD5ACF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2、至少具备3年网络安全工作经验</w:t>
            </w:r>
          </w:p>
          <w:p w14:paraId="2373A7F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服务承诺：</w:t>
            </w:r>
          </w:p>
          <w:p w14:paraId="64B574F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驻场运维人员工作时间与单位同步，专注网络安全保障工作，助力医院筑牢安全防线。</w:t>
            </w:r>
          </w:p>
        </w:tc>
        <w:tc>
          <w:tcPr>
            <w:tcW w:w="24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8D16DE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驻场人员到位，开展日常巡检，协助处理基础安全事件，完成人员培训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64D13D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深化运维支持，参与安全策略制定，开展内部技术培训，协助应急处置</w:t>
            </w:r>
          </w:p>
        </w:tc>
        <w:tc>
          <w:tcPr>
            <w:tcW w:w="13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878C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每年驻场服务</w:t>
            </w:r>
          </w:p>
        </w:tc>
      </w:tr>
    </w:tbl>
    <w:p w14:paraId="24FB9066">
      <w:pPr>
        <w:ind w:firstLine="560" w:firstLineChars="200"/>
        <w:rPr>
          <w:rFonts w:hint="eastAsia"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（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FF0000"/>
          <w:sz w:val="28"/>
          <w:szCs w:val="28"/>
        </w:rPr>
        <w:t>）医院可配合报名供应商进行网络环境评估、已有安全设备调研，但不提供相关纸质资料。</w:t>
      </w:r>
    </w:p>
    <w:p w14:paraId="0FC071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YjBiODNmOWQzMDA0ZmY3NDg3MDgzOTAyNWI2ZDAifQ=="/>
  </w:docVars>
  <w:rsids>
    <w:rsidRoot w:val="1BD8603E"/>
    <w:rsid w:val="1BD8603E"/>
    <w:rsid w:val="7BC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1387</Words>
  <Characters>1415</Characters>
  <Lines>0</Lines>
  <Paragraphs>0</Paragraphs>
  <TotalTime>0</TotalTime>
  <ScaleCrop>false</ScaleCrop>
  <LinksUpToDate>false</LinksUpToDate>
  <CharactersWithSpaces>1425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2026-02-06T02:06:00Z</dcterms:created>
  <dc:creator>何忠慧</dc:creator>
  <cp:lastModifiedBy>何忠慧</cp:lastModifiedBy>
  <dcterms:modified xsi:type="dcterms:W3CDTF">2026-02-06T02:09:27Z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BE9FC6BEBBB1468DBDE3BE1024AF2918_11</vt:lpwstr>
  </property>
</Properties>
</file>