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BA40D">
      <w:pPr>
        <w:pStyle w:val="6"/>
        <w:widowControl/>
        <w:shd w:val="clear" w:color="auto" w:fill="FFFFFF"/>
        <w:spacing w:beforeAutospacing="0" w:afterAutospacing="0" w:line="360" w:lineRule="auto"/>
        <w:jc w:val="center"/>
        <w:rPr>
          <w:rFonts w:hint="eastAsia" w:ascii="宋体" w:hAnsi="宋体" w:eastAsia="宋体" w:cs="宋体"/>
          <w:b/>
          <w:bCs/>
          <w:color w:val="000000"/>
          <w:sz w:val="28"/>
          <w:szCs w:val="28"/>
          <w:shd w:val="clear" w:color="auto" w:fill="FFFFFF"/>
          <w:lang w:eastAsia="zh-CN"/>
        </w:rPr>
      </w:pPr>
      <w:bookmarkStart w:id="0" w:name="_GoBack"/>
      <w:bookmarkEnd w:id="0"/>
      <w:r>
        <w:rPr>
          <w:rFonts w:hint="eastAsia" w:ascii="宋体" w:hAnsi="宋体" w:eastAsia="宋体" w:cs="宋体"/>
          <w:b/>
          <w:bCs/>
          <w:color w:val="000000"/>
          <w:sz w:val="28"/>
          <w:szCs w:val="28"/>
          <w:shd w:val="clear" w:color="auto" w:fill="FFFFFF"/>
          <w:lang w:val="en-US" w:eastAsia="zh-CN"/>
        </w:rPr>
        <w:t>云南省第一人民医院一体式睡眠筛查系统等</w:t>
      </w:r>
      <w:r>
        <w:rPr>
          <w:rFonts w:hint="eastAsia" w:ascii="宋体" w:hAnsi="宋体" w:eastAsia="宋体" w:cs="宋体"/>
          <w:b/>
          <w:bCs/>
          <w:color w:val="000000"/>
          <w:sz w:val="28"/>
          <w:szCs w:val="28"/>
          <w:shd w:val="clear" w:color="auto" w:fill="FFFFFF"/>
        </w:rPr>
        <w:t>采购项目</w:t>
      </w:r>
      <w:r>
        <w:rPr>
          <w:rFonts w:hint="eastAsia" w:ascii="宋体" w:hAnsi="宋体" w:eastAsia="宋体" w:cs="宋体"/>
          <w:b/>
          <w:bCs/>
          <w:color w:val="000000"/>
          <w:sz w:val="28"/>
          <w:szCs w:val="28"/>
          <w:shd w:val="clear" w:color="auto" w:fill="FFFFFF"/>
          <w:lang w:val="en-US" w:eastAsia="zh-CN"/>
        </w:rPr>
        <w:t>采购需求</w:t>
      </w:r>
      <w:r>
        <w:rPr>
          <w:rFonts w:hint="eastAsia" w:ascii="宋体" w:hAnsi="宋体" w:eastAsia="宋体" w:cs="宋体"/>
          <w:b/>
          <w:bCs/>
          <w:color w:val="000000"/>
          <w:sz w:val="28"/>
          <w:szCs w:val="28"/>
          <w:shd w:val="clear" w:color="auto" w:fill="FFFFFF"/>
        </w:rPr>
        <w:t>咨询公告</w:t>
      </w:r>
    </w:p>
    <w:p w14:paraId="5B96B7E0">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Fonts w:hint="eastAsia" w:ascii="宋体" w:hAnsi="宋体" w:eastAsia="宋体" w:cs="宋体"/>
          <w:color w:val="000000"/>
          <w:sz w:val="21"/>
          <w:szCs w:val="21"/>
          <w:shd w:val="clear" w:color="auto" w:fill="FFFFFF"/>
        </w:rPr>
        <w:t>根据</w:t>
      </w:r>
      <w:r>
        <w:rPr>
          <w:rFonts w:hint="eastAsia" w:ascii="宋体" w:hAnsi="宋体" w:eastAsia="宋体" w:cs="宋体"/>
          <w:color w:val="000000"/>
          <w:sz w:val="21"/>
          <w:szCs w:val="21"/>
          <w:shd w:val="clear" w:color="auto" w:fill="FFFFFF"/>
          <w:lang w:val="en-US" w:eastAsia="zh-CN"/>
        </w:rPr>
        <w:t>采购人相关</w:t>
      </w:r>
      <w:r>
        <w:rPr>
          <w:rFonts w:hint="eastAsia" w:ascii="宋体" w:hAnsi="宋体" w:eastAsia="宋体" w:cs="宋体"/>
          <w:color w:val="000000"/>
          <w:sz w:val="21"/>
          <w:szCs w:val="21"/>
          <w:shd w:val="clear" w:color="auto" w:fill="FFFFFF"/>
        </w:rPr>
        <w:t>要求，对</w:t>
      </w:r>
      <w:r>
        <w:rPr>
          <w:rFonts w:hint="eastAsia" w:ascii="宋体" w:hAnsi="宋体" w:eastAsia="宋体" w:cs="宋体"/>
          <w:color w:val="000000"/>
          <w:sz w:val="21"/>
          <w:szCs w:val="21"/>
          <w:shd w:val="clear" w:color="auto" w:fill="FFFFFF"/>
          <w:lang w:eastAsia="zh-CN"/>
        </w:rPr>
        <w:t>一体式睡眠筛查系统</w:t>
      </w:r>
      <w:r>
        <w:rPr>
          <w:rFonts w:hint="eastAsia" w:ascii="宋体" w:hAnsi="宋体" w:eastAsia="宋体" w:cs="宋体"/>
          <w:color w:val="000000"/>
          <w:sz w:val="21"/>
          <w:szCs w:val="21"/>
          <w:shd w:val="clear" w:color="auto" w:fill="FFFFFF"/>
        </w:rPr>
        <w:t>等采购项目进行前期咨询了解相关产业发展、市场供给、同类采购项目历史成交信息，可能涉及的运行维护、升级更新、备品备件、耗材等后续采购，以及其他相关情况。现就拟咨询项目情况及相关要求公告如下：</w:t>
      </w:r>
    </w:p>
    <w:p w14:paraId="753286ED">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10"/>
          <w:rFonts w:hint="eastAsia" w:ascii="宋体" w:hAnsi="宋体" w:eastAsia="宋体" w:cs="宋体"/>
          <w:color w:val="000000"/>
          <w:sz w:val="21"/>
          <w:szCs w:val="21"/>
          <w:shd w:val="clear" w:color="auto" w:fill="FFFFFF"/>
        </w:rPr>
        <w:t>一、咨询项目</w:t>
      </w:r>
    </w:p>
    <w:tbl>
      <w:tblPr>
        <w:tblStyle w:val="7"/>
        <w:tblW w:w="91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624"/>
        <w:gridCol w:w="1977"/>
        <w:gridCol w:w="6527"/>
      </w:tblGrid>
      <w:tr w14:paraId="2DD2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532" w:hRule="atLeast"/>
          <w:jc w:val="center"/>
        </w:trPr>
        <w:tc>
          <w:tcPr>
            <w:tcW w:w="624" w:type="dxa"/>
            <w:shd w:val="clear" w:color="auto" w:fill="FFFFFF"/>
            <w:tcMar>
              <w:left w:w="75" w:type="dxa"/>
              <w:right w:w="75" w:type="dxa"/>
            </w:tcMar>
            <w:vAlign w:val="center"/>
          </w:tcPr>
          <w:p w14:paraId="75203273">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1977" w:type="dxa"/>
            <w:shd w:val="clear" w:color="auto" w:fill="FFFFFF"/>
            <w:tcMar>
              <w:left w:w="75" w:type="dxa"/>
              <w:right w:w="75" w:type="dxa"/>
            </w:tcMar>
            <w:vAlign w:val="center"/>
          </w:tcPr>
          <w:p w14:paraId="29575AC2">
            <w:pPr>
              <w:widowControl/>
              <w:jc w:val="center"/>
              <w:textAlignment w:val="center"/>
              <w:rPr>
                <w:rFonts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产品（项目）名称</w:t>
            </w:r>
          </w:p>
        </w:tc>
        <w:tc>
          <w:tcPr>
            <w:tcW w:w="6527" w:type="dxa"/>
            <w:shd w:val="clear" w:color="auto" w:fill="FFFFFF"/>
            <w:tcMar>
              <w:left w:w="75" w:type="dxa"/>
              <w:right w:w="75" w:type="dxa"/>
            </w:tcMar>
            <w:vAlign w:val="center"/>
          </w:tcPr>
          <w:p w14:paraId="57481D06">
            <w:pPr>
              <w:widowControl/>
              <w:jc w:val="center"/>
              <w:textAlignment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应用方向</w:t>
            </w:r>
            <w:r>
              <w:rPr>
                <w:rFonts w:hint="eastAsia" w:ascii="宋体" w:hAnsi="宋体" w:eastAsia="宋体" w:cs="宋体"/>
                <w:b/>
                <w:bCs/>
                <w:color w:val="000000"/>
                <w:kern w:val="0"/>
                <w:sz w:val="21"/>
                <w:szCs w:val="21"/>
                <w:lang w:val="en-US" w:eastAsia="zh-CN"/>
              </w:rPr>
              <w:t>及参考性能要求</w:t>
            </w:r>
          </w:p>
        </w:tc>
      </w:tr>
      <w:tr w14:paraId="372C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4707CD3">
            <w:pPr>
              <w:keepNext w:val="0"/>
              <w:keepLines w:val="0"/>
              <w:widowControl/>
              <w:suppressLineNumbers w:val="0"/>
              <w:jc w:val="center"/>
              <w:textAlignment w:val="center"/>
              <w:rPr>
                <w:rFonts w:ascii="宋体" w:hAnsi="宋体" w:eastAsia="宋体" w:cs="宋体"/>
                <w:b w:val="0"/>
                <w:bCs w:val="0"/>
                <w:kern w:val="0"/>
                <w:sz w:val="21"/>
                <w:szCs w:val="21"/>
              </w:rPr>
            </w:pPr>
            <w:r>
              <w:rPr>
                <w:rFonts w:hint="eastAsia" w:ascii="宋体" w:hAnsi="宋体" w:eastAsia="宋体" w:cs="宋体"/>
                <w:b w:val="0"/>
                <w:bCs w:val="0"/>
                <w:i w:val="0"/>
                <w:iCs w:val="0"/>
                <w:color w:val="000000"/>
                <w:kern w:val="0"/>
                <w:sz w:val="21"/>
                <w:szCs w:val="20"/>
                <w:u w:val="none"/>
                <w:lang w:val="en-US" w:eastAsia="zh-CN" w:bidi="ar"/>
              </w:rPr>
              <w:t>1</w:t>
            </w:r>
          </w:p>
        </w:tc>
        <w:tc>
          <w:tcPr>
            <w:tcW w:w="1977" w:type="dxa"/>
            <w:shd w:val="clear" w:color="auto" w:fill="auto"/>
            <w:noWrap/>
            <w:tcMar>
              <w:left w:w="75" w:type="dxa"/>
              <w:right w:w="75" w:type="dxa"/>
            </w:tcMar>
            <w:vAlign w:val="center"/>
          </w:tcPr>
          <w:p w14:paraId="3A888A3F">
            <w:pPr>
              <w:keepNext w:val="0"/>
              <w:keepLines w:val="0"/>
              <w:widowControl/>
              <w:suppressLineNumbers w:val="0"/>
              <w:jc w:val="center"/>
              <w:textAlignment w:val="center"/>
              <w:rPr>
                <w:rFonts w:hint="default"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一体式睡眠筛查系统</w:t>
            </w:r>
          </w:p>
        </w:tc>
        <w:tc>
          <w:tcPr>
            <w:tcW w:w="6527" w:type="dxa"/>
            <w:shd w:val="clear" w:color="auto" w:fill="FFFFFF"/>
            <w:noWrap/>
            <w:tcMar>
              <w:left w:w="75" w:type="dxa"/>
              <w:right w:w="75" w:type="dxa"/>
            </w:tcMar>
            <w:vAlign w:val="center"/>
          </w:tcPr>
          <w:p w14:paraId="188A9B84">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可适用于成人、儿童的睡眠障碍及其高危因素、睡眠心脏健康风险的筛查和诊断。</w:t>
            </w:r>
          </w:p>
          <w:p w14:paraId="534A4954">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1、多维度指标采集：支持血氧、心率、呼吸、胸腹运动、体动、体位、面部图像、气道图像采集覆盖睡眠状态全维度监测需求。</w:t>
            </w:r>
          </w:p>
          <w:p w14:paraId="47C8051D">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2、AI算法能力：搭载机器学习算法，具备数据分割、伪差识别、睡眠分期功能</w:t>
            </w:r>
            <w:r>
              <w:rPr>
                <w:rFonts w:hint="eastAsia" w:ascii="宋体" w:hAnsi="宋体" w:eastAsia="宋体" w:cs="宋体"/>
                <w:kern w:val="0"/>
                <w:sz w:val="21"/>
                <w:szCs w:val="21"/>
                <w:lang w:val="en-US" w:eastAsia="zh-CN"/>
              </w:rPr>
              <w:t>，</w:t>
            </w:r>
            <w:r>
              <w:rPr>
                <w:rFonts w:hint="default" w:ascii="宋体" w:hAnsi="宋体" w:eastAsia="宋体" w:cs="宋体"/>
                <w:kern w:val="0"/>
                <w:sz w:val="21"/>
                <w:szCs w:val="21"/>
                <w:lang w:val="en-US" w:eastAsia="zh-CN"/>
              </w:rPr>
              <w:t>保障数据处理准确性与智能化分析。</w:t>
            </w:r>
          </w:p>
          <w:p w14:paraId="40B86D9D">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3、核心评估参数：含呼吸紊乱指数（AHI）、睡眠呼吸暂停分型、氧减指数（ODI）、最低血氧、MOS评分，满足睡眠障碍核心诊断需求。</w:t>
            </w:r>
          </w:p>
          <w:p w14:paraId="0FE843CB">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4、辅助评估参数：支持心率分布、心率变异性分析、颈围分析、睡眠分期、睡眠质量评估、体动/体位（睡姿）识别，覆盖高危因素评估维度。</w:t>
            </w:r>
          </w:p>
          <w:p w14:paraId="07E7062B">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5、筛查规模适配：满足大规模睡眠筛查场景使用。</w:t>
            </w:r>
          </w:p>
          <w:p w14:paraId="2B094643">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6、患者信息录入方式：支持身份证读取、扫码、手动录入（主机触摸屏/键盘均可操作）三种模式，提升录入效率，适配不同使用场景。</w:t>
            </w:r>
          </w:p>
          <w:p w14:paraId="6CFBFB6A">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7、报告生成与编辑：自动生成检测报告，支持医生意见录入、编辑功能简化报告处理流程。</w:t>
            </w:r>
          </w:p>
          <w:p w14:paraId="4DE749A0">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8、部署模式与使用限制：本地部署（非云端），软件使用无次数限制，监测仪数据写入无次数限制，保障数据安全性与长期使用需求。</w:t>
            </w:r>
          </w:p>
          <w:p w14:paraId="3F9738F7">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9、配备临床科研功能模块，支持数据结构导出及统计分析，满足临床科研数据挖掘需求。</w:t>
            </w:r>
          </w:p>
          <w:p w14:paraId="25DEB1E8">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10、连续运行能力：支持长时间连续监测，数据采集无中断、无丢失保障检测过程可靠性。</w:t>
            </w:r>
          </w:p>
          <w:p w14:paraId="70AADB05">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11、单晚支持大于20人次监测，支持无线扩展。</w:t>
            </w:r>
          </w:p>
          <w:p w14:paraId="18BDFB35">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12、量表选填功能：支持临床量表选填，适配平板电脑操作</w:t>
            </w:r>
          </w:p>
          <w:p w14:paraId="57D1759C">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13、可连接医院病历系统。</w:t>
            </w:r>
          </w:p>
        </w:tc>
      </w:tr>
      <w:tr w14:paraId="4F7D2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A6E71C6">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2</w:t>
            </w:r>
          </w:p>
        </w:tc>
        <w:tc>
          <w:tcPr>
            <w:tcW w:w="1977" w:type="dxa"/>
            <w:shd w:val="clear" w:color="auto" w:fill="auto"/>
            <w:noWrap/>
            <w:tcMar>
              <w:left w:w="75" w:type="dxa"/>
              <w:right w:w="75" w:type="dxa"/>
            </w:tcMar>
            <w:vAlign w:val="center"/>
          </w:tcPr>
          <w:p w14:paraId="76B7449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内脏脂肪检测装置</w:t>
            </w:r>
          </w:p>
        </w:tc>
        <w:tc>
          <w:tcPr>
            <w:tcW w:w="6527" w:type="dxa"/>
            <w:shd w:val="clear" w:color="auto" w:fill="FFFFFF"/>
            <w:noWrap/>
            <w:tcMar>
              <w:left w:w="75" w:type="dxa"/>
              <w:right w:w="75" w:type="dxa"/>
            </w:tcMar>
            <w:vAlign w:val="center"/>
          </w:tcPr>
          <w:p w14:paraId="1AA7D545">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default" w:ascii="宋体" w:hAnsi="宋体" w:eastAsia="宋体" w:cs="宋体"/>
                <w:kern w:val="0"/>
                <w:sz w:val="21"/>
                <w:szCs w:val="21"/>
                <w:lang w:val="en-US" w:eastAsia="zh-CN"/>
              </w:rPr>
              <w:t>用于内脏脂肪、皮下脂肪的定量检测，以及肥胖症、代谢综合征的早期筛查与风险评估，也可用于体重及脂肪代谢相关指标的动态监测与干预效果评估。</w:t>
            </w:r>
          </w:p>
          <w:p w14:paraId="3615653A">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1、符合标准化代谢性诊疗系统对接标准，实现数据自动传输和对接；</w:t>
            </w:r>
          </w:p>
          <w:p w14:paraId="452F3698">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2、测量方式：双重生物电阻抗技术检测非脂肪面积和皮下脂肪面积，得出内脏脂肪面积；</w:t>
            </w:r>
          </w:p>
          <w:p w14:paraId="27C0B8CD">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3、测量内脏脂肪面积（VFA），用于“肥胖症/代谢综合症”的诊断</w:t>
            </w:r>
          </w:p>
          <w:p w14:paraId="186A35BC">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4、专用腹部电极检测皮下脂肪面积（SFA）</w:t>
            </w:r>
          </w:p>
          <w:p w14:paraId="740EA0D2">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5、可测腹围、腹部纵/横宽度、腹部总剖面积</w:t>
            </w:r>
          </w:p>
          <w:p w14:paraId="5B52F4C6">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6、配四肢电极，能测脂肪外组织面积</w:t>
            </w:r>
          </w:p>
          <w:p w14:paraId="581048D0">
            <w:pPr>
              <w:keepNext w:val="0"/>
              <w:keepLines w:val="0"/>
              <w:widowControl/>
              <w:suppressLineNumbers w:val="0"/>
              <w:jc w:val="both"/>
              <w:textAlignment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7、自动算BMI，支持体重、内脏脂肪变化曲线</w:t>
            </w:r>
          </w:p>
        </w:tc>
      </w:tr>
      <w:tr w14:paraId="019B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3597A562">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3</w:t>
            </w:r>
          </w:p>
        </w:tc>
        <w:tc>
          <w:tcPr>
            <w:tcW w:w="1977" w:type="dxa"/>
            <w:shd w:val="clear" w:color="auto" w:fill="auto"/>
            <w:noWrap/>
            <w:tcMar>
              <w:left w:w="75" w:type="dxa"/>
              <w:right w:w="75" w:type="dxa"/>
            </w:tcMar>
            <w:vAlign w:val="center"/>
          </w:tcPr>
          <w:p w14:paraId="1683A3B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动脉硬化检测装置</w:t>
            </w:r>
          </w:p>
        </w:tc>
        <w:tc>
          <w:tcPr>
            <w:tcW w:w="6527" w:type="dxa"/>
            <w:shd w:val="clear" w:color="auto" w:fill="FFFFFF"/>
            <w:noWrap/>
            <w:tcMar>
              <w:left w:w="75" w:type="dxa"/>
              <w:right w:w="75" w:type="dxa"/>
            </w:tcMar>
            <w:vAlign w:val="center"/>
          </w:tcPr>
          <w:p w14:paraId="53FC0815">
            <w:pPr>
              <w:widowControl/>
              <w:numPr>
                <w:ilvl w:val="0"/>
                <w:numId w:val="0"/>
              </w:numPr>
              <w:jc w:val="left"/>
              <w:rPr>
                <w:rFonts w:hint="default"/>
                <w:lang w:val="en-US" w:eastAsia="zh-CN"/>
              </w:rPr>
            </w:pPr>
            <w:r>
              <w:rPr>
                <w:rFonts w:hint="default"/>
                <w:lang w:val="en-US" w:eastAsia="zh-CN"/>
              </w:rPr>
              <w:t>用于全身动脉硬化和动脉粥样硬化的早期检测和血管疾病风险的综合评估</w:t>
            </w:r>
          </w:p>
          <w:p w14:paraId="4D60F634">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r>
              <w:rPr>
                <w:rFonts w:hint="eastAsia"/>
                <w:lang w:val="en-US" w:eastAsia="zh-CN"/>
              </w:rPr>
              <w:t>含</w:t>
            </w:r>
            <w:r>
              <w:rPr>
                <w:rFonts w:hint="eastAsia" w:ascii="宋体" w:hAnsi="宋体" w:eastAsia="宋体" w:cs="宋体"/>
                <w:kern w:val="0"/>
                <w:sz w:val="21"/>
                <w:szCs w:val="21"/>
                <w:lang w:val="en-US" w:eastAsia="zh-CN"/>
              </w:rPr>
              <w:t>7大检测单元，可完成血管狭窄、血管硬化、糖尿病足、自主神经功能、心功能、运动负荷试验检测等</w:t>
            </w:r>
          </w:p>
          <w:p w14:paraId="2C03B295">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2、具备外周血管压力波动同步检测技术。</w:t>
            </w:r>
          </w:p>
          <w:p w14:paraId="49791F26">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3、下肢脚踝部血压检测。</w:t>
            </w:r>
          </w:p>
          <w:p w14:paraId="5ADAAC37">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4、具备滤波功能，可自动滤除噪音波；支持心脏起搏器模式，适配植入起搏器患者完成准确检测。</w:t>
            </w:r>
          </w:p>
          <w:p w14:paraId="32E2C8B6">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5、可自动评估心脑血管危险度、代谢综合征发病风险，为临床治疗方案制定提供依据。</w:t>
            </w:r>
          </w:p>
          <w:p w14:paraId="0C0481C8">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6、可显示心电图、心音图、四肢脉搏波波形图等标准曲线，报告提供多种人性化模板，支持医患不同使用需求选择。</w:t>
            </w:r>
          </w:p>
          <w:p w14:paraId="32ED5A2D">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7、支持网络连接，可直接读取、编辑、统计检测数据，能连入医院内数据库、电子病历、病理检查系统，实现多设备数据整合、传输及远程处理。</w:t>
            </w:r>
          </w:p>
          <w:p w14:paraId="566F2931">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8、具备便捷数据检索功能，可通过ID信息快速查询检测数据，支持数据备份与分析。</w:t>
            </w:r>
          </w:p>
          <w:p w14:paraId="122A41FC">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9、符合标准化代谢性诊疗系统对接标准，实现检测数据自动传输、无</w:t>
            </w:r>
            <w:r>
              <w:rPr>
                <w:rFonts w:hint="eastAsia"/>
                <w:lang w:val="en-US" w:eastAsia="zh-CN"/>
              </w:rPr>
              <w:t>缝对接。</w:t>
            </w:r>
          </w:p>
        </w:tc>
      </w:tr>
      <w:tr w14:paraId="410D3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1E9861B7">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4</w:t>
            </w:r>
          </w:p>
        </w:tc>
        <w:tc>
          <w:tcPr>
            <w:tcW w:w="1977" w:type="dxa"/>
            <w:shd w:val="clear" w:color="auto" w:fill="auto"/>
            <w:noWrap/>
            <w:tcMar>
              <w:left w:w="75" w:type="dxa"/>
              <w:right w:w="75" w:type="dxa"/>
            </w:tcMar>
            <w:vAlign w:val="center"/>
          </w:tcPr>
          <w:p w14:paraId="7D3D5DA1">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全自动免散瞳眼底照相机</w:t>
            </w:r>
          </w:p>
        </w:tc>
        <w:tc>
          <w:tcPr>
            <w:tcW w:w="6527" w:type="dxa"/>
            <w:shd w:val="clear" w:color="auto" w:fill="FFFFFF"/>
            <w:noWrap/>
            <w:tcMar>
              <w:left w:w="75" w:type="dxa"/>
              <w:right w:w="75" w:type="dxa"/>
            </w:tcMar>
            <w:vAlign w:val="center"/>
          </w:tcPr>
          <w:p w14:paraId="526230A3">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适用于眼底疾病的无创早期筛查与临床诊断，可对视网膜、视神经、黄斑等眼底结构进行高清成像，用于糖尿病视网膜病变、高血压眼底病变、青光眼、黄斑病变等多种眼底疾病的筛查、诊断及病情随访，适配体检中心、眼科、内分泌科等临床场景的常规眼底检查。</w:t>
            </w:r>
          </w:p>
          <w:p w14:paraId="3D8DA3B5">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1、免散瞳设计，无需散瞳剂即可开展眼底拍摄</w:t>
            </w:r>
          </w:p>
          <w:p w14:paraId="0CAA55CA">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2、全自动一键式操作，支持自动切换左右眼、自动寻瞳、自动对焦、自动闪光、自动拍照，全程无需人工调整</w:t>
            </w:r>
          </w:p>
          <w:p w14:paraId="7D78E7FE">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3、可对接医院PACS/EMR系统，符合标准化代谢性诊疗系统对接标准，实现数据自动传输</w:t>
            </w:r>
          </w:p>
          <w:p w14:paraId="294195E9">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4、支持小瞳孔清晰拍摄，适配不同瞳孔状态患者</w:t>
            </w:r>
          </w:p>
          <w:p w14:paraId="573D6E75">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5、具备立体照相、眼前节照相等扩展拍摄模式</w:t>
            </w:r>
          </w:p>
          <w:p w14:paraId="444019B6">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6、配备糖网筛查专用功能模块</w:t>
            </w:r>
          </w:p>
          <w:p w14:paraId="6382B704">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7、支持宽范围屈光度校正，适配不同视力状况患者</w:t>
            </w:r>
          </w:p>
          <w:p w14:paraId="0F2BBFFE">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8、闪光强度可多级调节，提升患者耐受度</w:t>
            </w:r>
          </w:p>
        </w:tc>
      </w:tr>
      <w:tr w14:paraId="62711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0016455F">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rPr>
            </w:pPr>
            <w:r>
              <w:rPr>
                <w:rFonts w:hint="eastAsia" w:ascii="宋体" w:hAnsi="宋体" w:eastAsia="宋体" w:cs="宋体"/>
                <w:b w:val="0"/>
                <w:bCs w:val="0"/>
                <w:i w:val="0"/>
                <w:iCs w:val="0"/>
                <w:color w:val="000000"/>
                <w:kern w:val="0"/>
                <w:sz w:val="21"/>
                <w:szCs w:val="20"/>
                <w:u w:val="none"/>
                <w:lang w:val="en-US" w:eastAsia="zh-CN" w:bidi="ar"/>
              </w:rPr>
              <w:t>5</w:t>
            </w:r>
          </w:p>
        </w:tc>
        <w:tc>
          <w:tcPr>
            <w:tcW w:w="1977" w:type="dxa"/>
            <w:shd w:val="clear" w:color="auto" w:fill="auto"/>
            <w:noWrap/>
            <w:tcMar>
              <w:left w:w="75" w:type="dxa"/>
              <w:right w:w="75" w:type="dxa"/>
            </w:tcMar>
            <w:vAlign w:val="center"/>
          </w:tcPr>
          <w:p w14:paraId="10C6C9C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脂肪肝治疗仪</w:t>
            </w:r>
          </w:p>
        </w:tc>
        <w:tc>
          <w:tcPr>
            <w:tcW w:w="6527" w:type="dxa"/>
            <w:shd w:val="clear" w:color="auto" w:fill="FFFFFF"/>
            <w:noWrap/>
            <w:tcMar>
              <w:left w:w="75" w:type="dxa"/>
              <w:right w:w="75" w:type="dxa"/>
            </w:tcMar>
            <w:vAlign w:val="center"/>
          </w:tcPr>
          <w:p w14:paraId="595143A3">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可用于慢性病毒性肝病的辅助治疗。治疗范围包含对脂肪性肝病、药物性肝病的辅助治疗。</w:t>
            </w:r>
          </w:p>
          <w:p w14:paraId="4BAB3A3E">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1.双路输出相互干扰≤5%</w:t>
            </w:r>
          </w:p>
          <w:p w14:paraId="63FB30B7">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2.运行模式：连续运行</w:t>
            </w:r>
          </w:p>
          <w:p w14:paraId="4E469344">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3.可满足两名患者同时进行治疗</w:t>
            </w:r>
          </w:p>
          <w:p w14:paraId="4D37A766">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4.具备断电重启输出保护功能</w:t>
            </w:r>
          </w:p>
        </w:tc>
      </w:tr>
      <w:tr w14:paraId="1E6AF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54797760">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6</w:t>
            </w:r>
          </w:p>
        </w:tc>
        <w:tc>
          <w:tcPr>
            <w:tcW w:w="1977" w:type="dxa"/>
            <w:shd w:val="clear" w:color="auto" w:fill="auto"/>
            <w:noWrap/>
            <w:tcMar>
              <w:left w:w="75" w:type="dxa"/>
              <w:right w:w="75" w:type="dxa"/>
            </w:tcMar>
            <w:vAlign w:val="center"/>
          </w:tcPr>
          <w:p w14:paraId="6A621D2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燃脂炮</w:t>
            </w:r>
          </w:p>
        </w:tc>
        <w:tc>
          <w:tcPr>
            <w:tcW w:w="6527" w:type="dxa"/>
            <w:shd w:val="clear" w:color="auto" w:fill="FFFFFF"/>
            <w:noWrap/>
            <w:tcMar>
              <w:left w:w="75" w:type="dxa"/>
              <w:right w:w="75" w:type="dxa"/>
            </w:tcMar>
            <w:vAlign w:val="center"/>
          </w:tcPr>
          <w:p w14:paraId="7BE0FA97">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促进组织代谢，加速脂肪分解，减少局部堆积，并通过增强胃肠动力辅助体重管理</w:t>
            </w:r>
          </w:p>
          <w:p w14:paraId="6BD9ADBD">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1.具有三种高频输出模式：</w:t>
            </w:r>
          </w:p>
          <w:p w14:paraId="28FD906A">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2.多种治疗头</w:t>
            </w:r>
          </w:p>
          <w:p w14:paraId="0334F8FC">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3.至少具有两种中性电极</w:t>
            </w:r>
          </w:p>
          <w:p w14:paraId="249988BB">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4.具备治疗频率、输出强度、负载阻抗、治疗功率、治疗时间等显示调节功能</w:t>
            </w:r>
          </w:p>
        </w:tc>
      </w:tr>
      <w:tr w14:paraId="0E8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23" w:hRule="atLeast"/>
          <w:jc w:val="center"/>
        </w:trPr>
        <w:tc>
          <w:tcPr>
            <w:tcW w:w="624" w:type="dxa"/>
            <w:shd w:val="clear" w:color="auto" w:fill="FFFFFF"/>
            <w:tcMar>
              <w:left w:w="75" w:type="dxa"/>
              <w:right w:w="75" w:type="dxa"/>
            </w:tcMar>
            <w:vAlign w:val="center"/>
          </w:tcPr>
          <w:p w14:paraId="3704DF11">
            <w:pPr>
              <w:keepNext w:val="0"/>
              <w:keepLines w:val="0"/>
              <w:widowControl/>
              <w:suppressLineNumbers w:val="0"/>
              <w:jc w:val="center"/>
              <w:textAlignment w:val="center"/>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i w:val="0"/>
                <w:iCs w:val="0"/>
                <w:color w:val="000000"/>
                <w:kern w:val="0"/>
                <w:sz w:val="21"/>
                <w:szCs w:val="20"/>
                <w:u w:val="none"/>
                <w:lang w:val="en-US" w:eastAsia="zh-CN" w:bidi="ar"/>
              </w:rPr>
              <w:t>7</w:t>
            </w:r>
          </w:p>
        </w:tc>
        <w:tc>
          <w:tcPr>
            <w:tcW w:w="1977" w:type="dxa"/>
            <w:shd w:val="clear" w:color="auto" w:fill="auto"/>
            <w:noWrap/>
            <w:tcMar>
              <w:left w:w="75" w:type="dxa"/>
              <w:right w:w="75" w:type="dxa"/>
            </w:tcMar>
            <w:vAlign w:val="center"/>
          </w:tcPr>
          <w:p w14:paraId="31FD11D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碘元素全自动检测仪</w:t>
            </w:r>
          </w:p>
        </w:tc>
        <w:tc>
          <w:tcPr>
            <w:tcW w:w="6527" w:type="dxa"/>
            <w:shd w:val="clear" w:color="auto" w:fill="FFFFFF"/>
            <w:noWrap/>
            <w:tcMar>
              <w:left w:w="75" w:type="dxa"/>
              <w:right w:w="75" w:type="dxa"/>
            </w:tcMar>
            <w:vAlign w:val="center"/>
          </w:tcPr>
          <w:p w14:paraId="5CA71362">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适用于人体尿液样本中碘元素的定量检测，可用于碘营养状况的筛查与评估，为碘缺乏病、碘过量相关疾病的辅助诊断、病情监测提供依据。</w:t>
            </w:r>
          </w:p>
          <w:p w14:paraId="01E3E0D4">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1、相关系数：定标相关系数(r)在0.999~1之间.</w:t>
            </w:r>
          </w:p>
          <w:p w14:paraId="01355A97">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2、重复性：用质控品(148ug/L)重复测试10次，变异系数(CV)小于等于10%.</w:t>
            </w:r>
          </w:p>
          <w:p w14:paraId="2BB2E80C">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3、全自动操作：使用者只需加入待测样品且样品无需前处理，整个分析过程仪器自动完成。</w:t>
            </w:r>
          </w:p>
          <w:p w14:paraId="6C405963">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4、准确度：测定国家碘标准物质，测定值在其不确定范围以内。</w:t>
            </w:r>
          </w:p>
          <w:p w14:paraId="6F9609C4">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5、检测速度：一小时检测标本大于40个。</w:t>
            </w:r>
          </w:p>
          <w:p w14:paraId="530E29A1">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6、支持急诊插入功能，支持随到随检，中途加样，定标曲线智能纠错。</w:t>
            </w:r>
          </w:p>
          <w:p w14:paraId="2EA48497">
            <w:pPr>
              <w:keepNext w:val="0"/>
              <w:keepLines w:val="0"/>
              <w:widowControl/>
              <w:suppressLineNumbers w:val="0"/>
              <w:jc w:val="both"/>
              <w:textAlignment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样本无需前处理，自动定标，纯化稀释，自动加样，温控，结果自动分析，安全性高，无毒无味稳定性好，可连lis系统。</w:t>
            </w:r>
          </w:p>
        </w:tc>
      </w:tr>
    </w:tbl>
    <w:p w14:paraId="6A1EB330">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rPr>
      </w:pPr>
      <w:r>
        <w:rPr>
          <w:rStyle w:val="10"/>
          <w:rFonts w:hint="eastAsia" w:ascii="宋体" w:hAnsi="宋体" w:eastAsia="宋体" w:cs="宋体"/>
          <w:color w:val="000000"/>
          <w:sz w:val="21"/>
          <w:szCs w:val="21"/>
          <w:shd w:val="clear" w:color="auto" w:fill="FFFFFF"/>
        </w:rPr>
        <w:t>二、报名资料及有关事项</w:t>
      </w:r>
    </w:p>
    <w:p w14:paraId="61970DB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（一）报名资料：</w:t>
      </w:r>
      <w:r>
        <w:fldChar w:fldCharType="begin"/>
      </w:r>
      <w:r>
        <w:instrText xml:space="preserve"> HYPERLINK "mailto:参与咨询的供应商需将持公司营业执照、医疗器械生产许可证（生产制造商提供）、医疗器械经营许可证（代理商提供）、法定代表人身份证明书、法定代表人授权委托书等报名资料加盖公章后的扫描件发送至电子邮箱851781154@qq.com。" </w:instrText>
      </w:r>
      <w:r>
        <w:fldChar w:fldCharType="separate"/>
      </w:r>
      <w:r>
        <w:rPr>
          <w:rFonts w:hint="eastAsia" w:ascii="宋体" w:hAnsi="宋体" w:eastAsia="宋体" w:cs="宋体"/>
          <w:color w:val="000000"/>
          <w:sz w:val="21"/>
          <w:szCs w:val="21"/>
          <w:shd w:val="clear" w:color="auto" w:fill="FFFFFF"/>
        </w:rPr>
        <w:t>参与咨询的供应商需将公司营业执照、法定代表人身份证明书、法定代表人授权委托书、咨询报名表</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见附件1</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等报名资料加盖公章后的扫描件发送至电子邮箱：</w:t>
      </w:r>
      <w:r>
        <w:rPr>
          <w:rFonts w:hint="eastAsia" w:ascii="宋体" w:hAnsi="宋体" w:eastAsia="宋体" w:cs="宋体"/>
          <w:color w:val="000000"/>
          <w:sz w:val="21"/>
          <w:szCs w:val="21"/>
          <w:shd w:val="clear" w:color="auto" w:fill="FFFFFF"/>
          <w:lang w:val="en-US" w:eastAsia="zh-CN"/>
        </w:rPr>
        <w:t>yngrzx05@126.com</w:t>
      </w: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rPr>
        <w:fldChar w:fldCharType="end"/>
      </w:r>
    </w:p>
    <w:p w14:paraId="29FD80A5">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shd w:val="clear" w:color="auto" w:fill="FFFFFF"/>
        </w:rPr>
        <w:t>（二）本次咨询内容涵盖供应商资质、产品技术参数、配置清单、历史成交价、市场占有率、</w:t>
      </w:r>
      <w:r>
        <w:rPr>
          <w:rFonts w:hint="eastAsia" w:ascii="宋体" w:hAnsi="宋体" w:eastAsia="宋体" w:cs="宋体"/>
          <w:i w:val="0"/>
          <w:iCs w:val="0"/>
          <w:caps w:val="0"/>
          <w:color w:val="000000"/>
          <w:spacing w:val="0"/>
          <w:sz w:val="21"/>
          <w:szCs w:val="21"/>
          <w:shd w:val="clear" w:fill="FFFFFF"/>
          <w:lang w:val="en-US" w:eastAsia="zh-CN"/>
        </w:rPr>
        <w:t>商务条款（质保期、交付期、质保期后维保费用、试剂耗材、备品备件等后期使用费用）</w:t>
      </w:r>
      <w:r>
        <w:rPr>
          <w:rFonts w:hint="eastAsia" w:ascii="宋体" w:hAnsi="宋体" w:eastAsia="宋体" w:cs="宋体"/>
          <w:color w:val="000000"/>
          <w:sz w:val="21"/>
          <w:szCs w:val="21"/>
          <w:shd w:val="clear" w:color="auto" w:fill="FFFFFF"/>
        </w:rPr>
        <w:t>等，供应商在报名</w:t>
      </w:r>
      <w:r>
        <w:rPr>
          <w:rFonts w:hint="eastAsia" w:ascii="宋体" w:hAnsi="宋体" w:eastAsia="宋体" w:cs="宋体"/>
          <w:color w:val="000000"/>
          <w:sz w:val="21"/>
          <w:szCs w:val="21"/>
          <w:highlight w:val="none"/>
          <w:shd w:val="clear" w:color="auto" w:fill="FFFFFF"/>
        </w:rPr>
        <w:t>时需明确产品，供应商可以选择其中一个或多个产品进行报名。</w:t>
      </w:r>
    </w:p>
    <w:p w14:paraId="495F0DA7">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（三）报名截止时间：自公告发布之日起至</w:t>
      </w:r>
      <w:r>
        <w:rPr>
          <w:rFonts w:hint="eastAsia" w:ascii="宋体" w:hAnsi="宋体" w:eastAsia="宋体" w:cs="宋体"/>
          <w:color w:val="000000"/>
          <w:sz w:val="21"/>
          <w:szCs w:val="21"/>
          <w:highlight w:val="none"/>
          <w:shd w:val="clear" w:color="auto" w:fill="FFFFFF"/>
          <w:lang w:val="en-US" w:eastAsia="zh-CN"/>
        </w:rPr>
        <w:t>2026</w:t>
      </w:r>
      <w:r>
        <w:rPr>
          <w:rFonts w:hint="eastAsia" w:ascii="宋体" w:hAnsi="宋体" w:eastAsia="宋体" w:cs="宋体"/>
          <w:color w:val="000000"/>
          <w:sz w:val="21"/>
          <w:szCs w:val="21"/>
          <w:highlight w:val="none"/>
          <w:shd w:val="clear" w:color="auto" w:fill="FFFFFF"/>
        </w:rPr>
        <w:t>年</w:t>
      </w:r>
      <w:r>
        <w:rPr>
          <w:rFonts w:hint="eastAsia" w:ascii="宋体" w:hAnsi="宋体" w:eastAsia="宋体" w:cs="宋体"/>
          <w:color w:val="000000"/>
          <w:sz w:val="21"/>
          <w:szCs w:val="21"/>
          <w:highlight w:val="none"/>
          <w:shd w:val="clear" w:color="auto" w:fill="FFFFFF"/>
          <w:lang w:val="en-US" w:eastAsia="zh-CN"/>
        </w:rPr>
        <w:t>02</w:t>
      </w:r>
      <w:r>
        <w:rPr>
          <w:rFonts w:hint="eastAsia" w:ascii="宋体" w:hAnsi="宋体" w:eastAsia="宋体" w:cs="宋体"/>
          <w:color w:val="000000"/>
          <w:sz w:val="21"/>
          <w:szCs w:val="21"/>
          <w:highlight w:val="none"/>
          <w:shd w:val="clear" w:color="auto" w:fill="FFFFFF"/>
        </w:rPr>
        <w:t>月</w:t>
      </w:r>
      <w:r>
        <w:rPr>
          <w:rFonts w:hint="eastAsia" w:ascii="宋体" w:hAnsi="宋体" w:eastAsia="宋体" w:cs="宋体"/>
          <w:color w:val="000000"/>
          <w:sz w:val="21"/>
          <w:szCs w:val="21"/>
          <w:highlight w:val="none"/>
          <w:shd w:val="clear" w:color="auto" w:fill="FFFFFF"/>
          <w:lang w:val="en-US" w:eastAsia="zh-CN"/>
        </w:rPr>
        <w:t>27</w:t>
      </w:r>
      <w:r>
        <w:rPr>
          <w:rFonts w:hint="eastAsia" w:ascii="宋体" w:hAnsi="宋体" w:eastAsia="宋体" w:cs="宋体"/>
          <w:color w:val="000000"/>
          <w:sz w:val="21"/>
          <w:szCs w:val="21"/>
          <w:highlight w:val="none"/>
          <w:shd w:val="clear" w:color="auto" w:fill="FFFFFF"/>
        </w:rPr>
        <w:t>日</w:t>
      </w:r>
      <w:r>
        <w:rPr>
          <w:rFonts w:hint="eastAsia" w:ascii="宋体" w:hAnsi="宋体" w:eastAsia="宋体" w:cs="宋体"/>
          <w:color w:val="000000"/>
          <w:sz w:val="21"/>
          <w:szCs w:val="21"/>
          <w:highlight w:val="none"/>
          <w:shd w:val="clear" w:color="auto" w:fill="FFFFFF"/>
          <w:lang w:val="en-US" w:eastAsia="zh-CN"/>
        </w:rPr>
        <w:t>18</w:t>
      </w:r>
      <w:r>
        <w:rPr>
          <w:rFonts w:hint="eastAsia" w:ascii="宋体" w:hAnsi="宋体" w:eastAsia="宋体" w:cs="宋体"/>
          <w:color w:val="000000"/>
          <w:sz w:val="21"/>
          <w:szCs w:val="21"/>
          <w:highlight w:val="none"/>
          <w:shd w:val="clear" w:color="auto" w:fill="FFFFFF"/>
        </w:rPr>
        <w:t>时</w:t>
      </w:r>
      <w:r>
        <w:rPr>
          <w:rFonts w:hint="eastAsia" w:ascii="宋体" w:hAnsi="宋体" w:eastAsia="宋体" w:cs="宋体"/>
          <w:color w:val="000000"/>
          <w:sz w:val="21"/>
          <w:szCs w:val="21"/>
          <w:highlight w:val="none"/>
          <w:shd w:val="clear" w:color="auto" w:fill="FFFFFF"/>
          <w:lang w:val="en-US" w:eastAsia="zh-CN"/>
        </w:rPr>
        <w:t>00</w:t>
      </w:r>
      <w:r>
        <w:rPr>
          <w:rFonts w:hint="eastAsia" w:ascii="宋体" w:hAnsi="宋体" w:eastAsia="宋体" w:cs="宋体"/>
          <w:color w:val="000000"/>
          <w:sz w:val="21"/>
          <w:szCs w:val="21"/>
          <w:highlight w:val="none"/>
          <w:shd w:val="clear" w:color="auto" w:fill="FFFFFF"/>
        </w:rPr>
        <w:t>分（北京时间），逾期报名将不被受理（以邮件送达时间为准）。</w:t>
      </w:r>
    </w:p>
    <w:p w14:paraId="627B302C">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（四）报名联系方式：</w:t>
      </w:r>
    </w:p>
    <w:p w14:paraId="295F4D2B">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名称：云南冠睿咨询有限公司</w:t>
      </w:r>
    </w:p>
    <w:p w14:paraId="1CEA31EC">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地址：云南省昆明市西山区万达广场南塔32层3201号</w:t>
      </w:r>
    </w:p>
    <w:p w14:paraId="29107CEE">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联系人：蒋兴杰、李欣睿、祝欣、王国玺、吴翊、陈沿锦、丁传觐、汪怡含、邓楚卿、李腾芳、王彦飞、肖枝莲、刘晓云、张振荣、杨益鑫、戚玮薇</w:t>
      </w:r>
    </w:p>
    <w:p w14:paraId="6DAE20A9">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联系方式：0871-65511240、0871-65511241（接通后转5）</w:t>
      </w:r>
    </w:p>
    <w:p w14:paraId="20B2FBFA">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Style w:val="10"/>
          <w:rFonts w:hint="eastAsia" w:ascii="宋体" w:hAnsi="宋体" w:eastAsia="宋体" w:cs="宋体"/>
          <w:color w:val="000000"/>
          <w:sz w:val="21"/>
          <w:szCs w:val="21"/>
          <w:highlight w:val="none"/>
          <w:shd w:val="clear" w:color="auto" w:fill="FFFFFF"/>
        </w:rPr>
        <w:t>三、咨询要求及有关事项</w:t>
      </w:r>
    </w:p>
    <w:p w14:paraId="346C3F8B">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rPr>
        <w:t>（一）咨询响应资料：</w:t>
      </w:r>
      <w:r>
        <w:rPr>
          <w:rFonts w:hint="eastAsia" w:ascii="宋体" w:hAnsi="宋体" w:eastAsia="宋体" w:cs="宋体"/>
          <w:color w:val="000000"/>
          <w:sz w:val="21"/>
          <w:szCs w:val="21"/>
          <w:highlight w:val="none"/>
          <w:shd w:val="clear" w:color="auto" w:fill="FFFFFF"/>
          <w:lang w:val="en-US" w:eastAsia="zh-CN"/>
        </w:rPr>
        <w:t>线上</w:t>
      </w:r>
      <w:r>
        <w:rPr>
          <w:rFonts w:hint="eastAsia" w:ascii="宋体" w:hAnsi="宋体" w:eastAsia="宋体" w:cs="宋体"/>
          <w:color w:val="000000"/>
          <w:sz w:val="21"/>
          <w:szCs w:val="21"/>
          <w:highlight w:val="none"/>
          <w:shd w:val="clear" w:color="auto" w:fill="FFFFFF"/>
        </w:rPr>
        <w:t>提交下列资料：</w:t>
      </w:r>
    </w:p>
    <w:p w14:paraId="134DBA37">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rPr>
        <w:t>1.</w:t>
      </w:r>
      <w:r>
        <w:rPr>
          <w:rFonts w:hint="eastAsia" w:ascii="宋体" w:hAnsi="宋体" w:eastAsia="宋体" w:cs="宋体"/>
          <w:color w:val="000000"/>
          <w:sz w:val="21"/>
          <w:szCs w:val="21"/>
          <w:highlight w:val="none"/>
          <w:shd w:val="clear" w:color="auto" w:fill="FFFFFF"/>
          <w:lang w:val="en-US" w:eastAsia="zh-CN"/>
        </w:rPr>
        <w:t>咨询一览表（见附件2）</w:t>
      </w:r>
    </w:p>
    <w:p w14:paraId="6D4138AC">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2.供应商资质：</w:t>
      </w:r>
    </w:p>
    <w:p w14:paraId="3BEE049B">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highlight w:val="none"/>
          <w:shd w:val="clear" w:color="auto" w:fill="FFFFFF"/>
        </w:rPr>
      </w:pPr>
      <w:r>
        <w:rPr>
          <w:rFonts w:hint="eastAsia" w:ascii="宋体" w:hAnsi="宋体" w:eastAsia="宋体" w:cs="宋体"/>
          <w:color w:val="000000"/>
          <w:sz w:val="21"/>
          <w:szCs w:val="21"/>
          <w:highlight w:val="none"/>
          <w:shd w:val="clear" w:color="auto" w:fill="FFFFFF"/>
          <w:lang w:val="en-US" w:eastAsia="zh-CN"/>
        </w:rPr>
        <w:t>①</w:t>
      </w:r>
      <w:r>
        <w:rPr>
          <w:rFonts w:hint="eastAsia" w:ascii="宋体" w:hAnsi="宋体" w:eastAsia="宋体" w:cs="宋体"/>
          <w:color w:val="000000"/>
          <w:sz w:val="21"/>
          <w:szCs w:val="21"/>
          <w:highlight w:val="none"/>
          <w:shd w:val="clear" w:color="auto" w:fill="FFFFFF"/>
        </w:rPr>
        <w:t>营业执照（</w:t>
      </w:r>
      <w:r>
        <w:rPr>
          <w:rFonts w:hint="eastAsia" w:ascii="宋体" w:hAnsi="宋体" w:eastAsia="宋体" w:cs="宋体"/>
          <w:color w:val="000000"/>
          <w:sz w:val="21"/>
          <w:szCs w:val="21"/>
          <w:highlight w:val="none"/>
          <w:shd w:val="clear" w:color="auto" w:fill="FFFFFF"/>
          <w:lang w:val="en-US" w:eastAsia="zh-CN"/>
        </w:rPr>
        <w:t>扫描件</w:t>
      </w:r>
      <w:r>
        <w:rPr>
          <w:rFonts w:hint="eastAsia" w:ascii="宋体" w:hAnsi="宋体" w:eastAsia="宋体" w:cs="宋体"/>
          <w:color w:val="000000"/>
          <w:sz w:val="21"/>
          <w:szCs w:val="21"/>
          <w:highlight w:val="none"/>
          <w:shd w:val="clear" w:color="auto" w:fill="FFFFFF"/>
        </w:rPr>
        <w:t>加盖供应商公章）；</w:t>
      </w:r>
    </w:p>
    <w:p w14:paraId="7ACD1F2C">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eastAsia="zh-CN"/>
        </w:rPr>
      </w:pPr>
      <w:r>
        <w:rPr>
          <w:rFonts w:hint="eastAsia" w:ascii="宋体" w:hAnsi="宋体" w:eastAsia="宋体" w:cs="宋体"/>
          <w:color w:val="000000"/>
          <w:sz w:val="21"/>
          <w:szCs w:val="21"/>
          <w:highlight w:val="none"/>
          <w:shd w:val="clear" w:color="auto" w:fill="FFFFFF"/>
          <w:lang w:val="en-US" w:eastAsia="zh-CN"/>
        </w:rPr>
        <w:t>②</w:t>
      </w:r>
      <w:r>
        <w:rPr>
          <w:rFonts w:hint="eastAsia" w:ascii="宋体" w:hAnsi="宋体" w:eastAsia="宋体" w:cs="宋体"/>
          <w:color w:val="000000"/>
          <w:sz w:val="21"/>
          <w:szCs w:val="21"/>
          <w:highlight w:val="none"/>
          <w:shd w:val="clear" w:color="auto" w:fill="FFFFFF"/>
        </w:rPr>
        <w:t>法定代表人身份证明书</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加盖供应商公章</w:t>
      </w:r>
      <w:r>
        <w:rPr>
          <w:rFonts w:hint="eastAsia" w:ascii="宋体" w:hAnsi="宋体" w:eastAsia="宋体" w:cs="宋体"/>
          <w:color w:val="000000"/>
          <w:sz w:val="21"/>
          <w:szCs w:val="21"/>
          <w:highlight w:val="none"/>
          <w:shd w:val="clear" w:color="auto" w:fill="FFFFFF"/>
          <w:lang w:eastAsia="zh-CN"/>
        </w:rPr>
        <w:t>）</w:t>
      </w:r>
    </w:p>
    <w:p w14:paraId="78068D9E">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③</w:t>
      </w:r>
      <w:r>
        <w:rPr>
          <w:rFonts w:hint="eastAsia" w:ascii="宋体" w:hAnsi="宋体" w:eastAsia="宋体" w:cs="宋体"/>
          <w:color w:val="000000"/>
          <w:sz w:val="21"/>
          <w:szCs w:val="21"/>
          <w:highlight w:val="none"/>
          <w:shd w:val="clear" w:color="auto" w:fill="FFFFFF"/>
        </w:rPr>
        <w:t>法定代表人授权委托书（加盖供应商公章）</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法定代表人</w:t>
      </w:r>
      <w:r>
        <w:rPr>
          <w:rFonts w:hint="eastAsia" w:ascii="宋体" w:hAnsi="宋体" w:eastAsia="宋体" w:cs="宋体"/>
          <w:color w:val="000000"/>
          <w:sz w:val="21"/>
          <w:szCs w:val="21"/>
          <w:highlight w:val="none"/>
          <w:shd w:val="clear" w:color="auto" w:fill="FFFFFF"/>
          <w:lang w:val="en-US" w:eastAsia="zh-CN"/>
        </w:rPr>
        <w:t>提交可不提供。</w:t>
      </w:r>
    </w:p>
    <w:p w14:paraId="2A3DAC71">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20824197">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highlight w:val="none"/>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3.</w:t>
      </w:r>
      <w:r>
        <w:rPr>
          <w:rFonts w:hint="eastAsia" w:ascii="宋体" w:hAnsi="宋体" w:eastAsia="宋体" w:cs="宋体"/>
          <w:color w:val="000000"/>
          <w:sz w:val="21"/>
          <w:szCs w:val="21"/>
          <w:highlight w:val="none"/>
          <w:shd w:val="clear" w:color="auto" w:fill="FFFFFF"/>
        </w:rPr>
        <w:t>产品资料</w:t>
      </w:r>
      <w:r>
        <w:rPr>
          <w:rFonts w:hint="eastAsia" w:ascii="宋体" w:hAnsi="宋体" w:eastAsia="宋体" w:cs="宋体"/>
          <w:color w:val="000000"/>
          <w:sz w:val="21"/>
          <w:szCs w:val="21"/>
          <w:highlight w:val="none"/>
          <w:shd w:val="clear" w:color="auto" w:fill="FFFFFF"/>
          <w:lang w:eastAsia="zh-CN"/>
        </w:rPr>
        <w:t>：</w:t>
      </w:r>
      <w:r>
        <w:rPr>
          <w:rFonts w:hint="eastAsia" w:ascii="宋体" w:hAnsi="宋体" w:eastAsia="宋体" w:cs="宋体"/>
          <w:color w:val="000000"/>
          <w:sz w:val="21"/>
          <w:szCs w:val="21"/>
          <w:highlight w:val="none"/>
          <w:shd w:val="clear" w:color="auto" w:fill="FFFFFF"/>
        </w:rPr>
        <w:t>包含</w:t>
      </w:r>
      <w:r>
        <w:rPr>
          <w:rFonts w:hint="eastAsia" w:ascii="宋体" w:hAnsi="宋体" w:eastAsia="宋体" w:cs="宋体"/>
          <w:color w:val="000000"/>
          <w:sz w:val="21"/>
          <w:szCs w:val="21"/>
          <w:highlight w:val="none"/>
          <w:shd w:val="clear" w:color="auto" w:fill="FFFFFF"/>
          <w:lang w:val="en-US" w:eastAsia="zh-CN"/>
        </w:rPr>
        <w:t>报价、</w:t>
      </w:r>
      <w:r>
        <w:rPr>
          <w:rFonts w:hint="eastAsia" w:ascii="宋体" w:hAnsi="宋体" w:eastAsia="宋体" w:cs="宋体"/>
          <w:i w:val="0"/>
          <w:iCs w:val="0"/>
          <w:caps w:val="0"/>
          <w:color w:val="000000"/>
          <w:spacing w:val="0"/>
          <w:sz w:val="21"/>
          <w:szCs w:val="21"/>
          <w:highlight w:val="none"/>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color w:val="000000"/>
          <w:sz w:val="21"/>
          <w:szCs w:val="21"/>
          <w:highlight w:val="none"/>
          <w:shd w:val="clear" w:color="auto" w:fill="FFFFFF"/>
        </w:rPr>
        <w:t>等，供应商可以选择其中一个或多个产品</w:t>
      </w:r>
      <w:r>
        <w:rPr>
          <w:rFonts w:hint="eastAsia" w:ascii="宋体" w:hAnsi="宋体" w:eastAsia="宋体" w:cs="宋体"/>
          <w:color w:val="000000"/>
          <w:sz w:val="21"/>
          <w:szCs w:val="21"/>
          <w:highlight w:val="none"/>
          <w:shd w:val="clear" w:color="auto" w:fill="FFFFFF"/>
          <w:lang w:val="en-US" w:eastAsia="zh-CN"/>
        </w:rPr>
        <w:t>参与</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采购人或采购代理机构根据需要</w:t>
      </w:r>
      <w:r>
        <w:rPr>
          <w:rFonts w:hint="eastAsia" w:ascii="宋体" w:hAnsi="宋体" w:eastAsia="宋体" w:cs="宋体"/>
          <w:color w:val="000000"/>
          <w:sz w:val="21"/>
          <w:szCs w:val="21"/>
          <w:highlight w:val="none"/>
          <w:shd w:val="clear" w:color="auto" w:fill="FFFFFF"/>
        </w:rPr>
        <w:t>对产品相关事宜进行详细咨询，产品生产制造商或代理商应</w:t>
      </w:r>
      <w:r>
        <w:rPr>
          <w:rFonts w:hint="eastAsia" w:ascii="宋体" w:hAnsi="宋体" w:eastAsia="宋体" w:cs="宋体"/>
          <w:color w:val="000000"/>
          <w:sz w:val="21"/>
          <w:szCs w:val="21"/>
          <w:highlight w:val="none"/>
          <w:shd w:val="clear" w:color="auto" w:fill="FFFFFF"/>
          <w:lang w:val="en-US" w:eastAsia="zh-CN"/>
        </w:rPr>
        <w:t>提供</w:t>
      </w:r>
      <w:r>
        <w:rPr>
          <w:rFonts w:hint="eastAsia" w:ascii="宋体" w:hAnsi="宋体" w:eastAsia="宋体" w:cs="宋体"/>
          <w:color w:val="000000"/>
          <w:sz w:val="21"/>
          <w:szCs w:val="21"/>
          <w:highlight w:val="none"/>
          <w:shd w:val="clear" w:color="auto" w:fill="FFFFFF"/>
        </w:rPr>
        <w:t>熟悉产品性能、技术指标、售后服务等情况的人员</w:t>
      </w:r>
      <w:r>
        <w:rPr>
          <w:rFonts w:hint="eastAsia" w:ascii="宋体" w:hAnsi="宋体" w:eastAsia="宋体" w:cs="宋体"/>
          <w:color w:val="000000"/>
          <w:sz w:val="21"/>
          <w:szCs w:val="21"/>
          <w:highlight w:val="none"/>
          <w:shd w:val="clear" w:color="auto" w:fill="FFFFFF"/>
          <w:lang w:val="en-US" w:eastAsia="zh-CN"/>
        </w:rPr>
        <w:t>联系方式</w:t>
      </w:r>
      <w:r>
        <w:rPr>
          <w:rFonts w:hint="eastAsia" w:ascii="宋体" w:hAnsi="宋体" w:eastAsia="宋体" w:cs="宋体"/>
          <w:color w:val="000000"/>
          <w:sz w:val="21"/>
          <w:szCs w:val="21"/>
          <w:highlight w:val="none"/>
          <w:shd w:val="clear" w:color="auto" w:fill="FFFFFF"/>
        </w:rPr>
        <w:t>。</w:t>
      </w:r>
    </w:p>
    <w:p w14:paraId="34DDB169">
      <w:pPr>
        <w:pStyle w:val="6"/>
        <w:widowControl/>
        <w:shd w:val="clear" w:color="auto" w:fill="FFFFFF"/>
        <w:spacing w:beforeAutospacing="0" w:afterAutospacing="0" w:line="360" w:lineRule="auto"/>
        <w:ind w:firstLine="420"/>
        <w:jc w:val="both"/>
        <w:rPr>
          <w:rFonts w:ascii="宋体" w:hAnsi="宋体" w:eastAsia="宋体" w:cs="宋体"/>
          <w:color w:val="484848"/>
          <w:sz w:val="21"/>
          <w:szCs w:val="21"/>
          <w:highlight w:val="none"/>
        </w:rPr>
      </w:pP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二</w:t>
      </w:r>
      <w:r>
        <w:rPr>
          <w:rFonts w:hint="eastAsia" w:ascii="宋体" w:hAnsi="宋体" w:eastAsia="宋体" w:cs="宋体"/>
          <w:color w:val="000000"/>
          <w:sz w:val="21"/>
          <w:szCs w:val="21"/>
          <w:highlight w:val="none"/>
          <w:shd w:val="clear" w:color="auto" w:fill="FFFFFF"/>
        </w:rPr>
        <w:t>）</w:t>
      </w:r>
      <w:r>
        <w:rPr>
          <w:rFonts w:hint="eastAsia" w:ascii="宋体" w:hAnsi="宋体" w:eastAsia="宋体" w:cs="宋体"/>
          <w:color w:val="000000"/>
          <w:sz w:val="21"/>
          <w:szCs w:val="21"/>
          <w:highlight w:val="none"/>
          <w:shd w:val="clear" w:color="auto" w:fill="FFFFFF"/>
          <w:lang w:val="en-US" w:eastAsia="zh-CN"/>
        </w:rPr>
        <w:t>提交截止</w:t>
      </w:r>
      <w:r>
        <w:rPr>
          <w:rFonts w:hint="eastAsia" w:ascii="宋体" w:hAnsi="宋体" w:eastAsia="宋体" w:cs="宋体"/>
          <w:color w:val="000000"/>
          <w:sz w:val="21"/>
          <w:szCs w:val="21"/>
          <w:highlight w:val="none"/>
          <w:shd w:val="clear" w:color="auto" w:fill="FFFFFF"/>
        </w:rPr>
        <w:t>时间：</w:t>
      </w:r>
      <w:r>
        <w:rPr>
          <w:rFonts w:hint="eastAsia" w:ascii="宋体" w:hAnsi="宋体" w:eastAsia="宋体" w:cs="宋体"/>
          <w:color w:val="000000"/>
          <w:sz w:val="21"/>
          <w:szCs w:val="21"/>
          <w:highlight w:val="none"/>
          <w:shd w:val="clear" w:color="auto" w:fill="FFFFFF"/>
          <w:lang w:val="en-US" w:eastAsia="zh-CN"/>
        </w:rPr>
        <w:t>2026</w:t>
      </w:r>
      <w:r>
        <w:rPr>
          <w:rFonts w:hint="eastAsia" w:ascii="宋体" w:hAnsi="宋体" w:eastAsia="宋体" w:cs="宋体"/>
          <w:color w:val="000000"/>
          <w:sz w:val="21"/>
          <w:szCs w:val="21"/>
          <w:highlight w:val="none"/>
          <w:shd w:val="clear" w:color="auto" w:fill="FFFFFF"/>
        </w:rPr>
        <w:t>年</w:t>
      </w:r>
      <w:r>
        <w:rPr>
          <w:rFonts w:hint="eastAsia" w:ascii="宋体" w:hAnsi="宋体" w:eastAsia="宋体" w:cs="宋体"/>
          <w:color w:val="000000"/>
          <w:sz w:val="21"/>
          <w:szCs w:val="21"/>
          <w:highlight w:val="none"/>
          <w:shd w:val="clear" w:color="auto" w:fill="FFFFFF"/>
          <w:lang w:val="en-US" w:eastAsia="zh-CN"/>
        </w:rPr>
        <w:t>02</w:t>
      </w:r>
      <w:r>
        <w:rPr>
          <w:rFonts w:hint="eastAsia" w:ascii="宋体" w:hAnsi="宋体" w:eastAsia="宋体" w:cs="宋体"/>
          <w:color w:val="000000"/>
          <w:sz w:val="21"/>
          <w:szCs w:val="21"/>
          <w:highlight w:val="none"/>
          <w:shd w:val="clear" w:color="auto" w:fill="FFFFFF"/>
        </w:rPr>
        <w:t>月</w:t>
      </w:r>
      <w:r>
        <w:rPr>
          <w:rFonts w:hint="eastAsia" w:ascii="宋体" w:hAnsi="宋体" w:eastAsia="宋体" w:cs="宋体"/>
          <w:color w:val="000000"/>
          <w:sz w:val="21"/>
          <w:szCs w:val="21"/>
          <w:highlight w:val="none"/>
          <w:shd w:val="clear" w:color="auto" w:fill="FFFFFF"/>
          <w:lang w:val="en-US" w:eastAsia="zh-CN"/>
        </w:rPr>
        <w:t>27</w:t>
      </w:r>
      <w:r>
        <w:rPr>
          <w:rFonts w:hint="eastAsia" w:ascii="宋体" w:hAnsi="宋体" w:eastAsia="宋体" w:cs="宋体"/>
          <w:color w:val="000000"/>
          <w:sz w:val="21"/>
          <w:szCs w:val="21"/>
          <w:highlight w:val="none"/>
          <w:shd w:val="clear" w:color="auto" w:fill="FFFFFF"/>
        </w:rPr>
        <w:t>日</w:t>
      </w:r>
      <w:r>
        <w:rPr>
          <w:rFonts w:hint="eastAsia" w:ascii="宋体" w:hAnsi="宋体" w:eastAsia="宋体" w:cs="宋体"/>
          <w:color w:val="000000"/>
          <w:sz w:val="21"/>
          <w:szCs w:val="21"/>
          <w:highlight w:val="none"/>
          <w:shd w:val="clear" w:color="auto" w:fill="FFFFFF"/>
          <w:lang w:val="en-US" w:eastAsia="zh-CN"/>
        </w:rPr>
        <w:t>18</w:t>
      </w:r>
      <w:r>
        <w:rPr>
          <w:rFonts w:hint="eastAsia" w:ascii="宋体" w:hAnsi="宋体" w:eastAsia="宋体" w:cs="宋体"/>
          <w:color w:val="000000"/>
          <w:sz w:val="21"/>
          <w:szCs w:val="21"/>
          <w:highlight w:val="none"/>
          <w:shd w:val="clear" w:color="auto" w:fill="FFFFFF"/>
        </w:rPr>
        <w:t>时</w:t>
      </w:r>
      <w:r>
        <w:rPr>
          <w:rFonts w:hint="eastAsia" w:ascii="宋体" w:hAnsi="宋体" w:eastAsia="宋体" w:cs="宋体"/>
          <w:color w:val="000000"/>
          <w:sz w:val="21"/>
          <w:szCs w:val="21"/>
          <w:highlight w:val="none"/>
          <w:shd w:val="clear" w:color="auto" w:fill="FFFFFF"/>
          <w:lang w:val="en-US" w:eastAsia="zh-CN"/>
        </w:rPr>
        <w:t>00</w:t>
      </w:r>
      <w:r>
        <w:rPr>
          <w:rFonts w:hint="eastAsia" w:ascii="宋体" w:hAnsi="宋体" w:eastAsia="宋体" w:cs="宋体"/>
          <w:color w:val="000000"/>
          <w:sz w:val="21"/>
          <w:szCs w:val="21"/>
          <w:highlight w:val="none"/>
          <w:shd w:val="clear" w:color="auto" w:fill="FFFFFF"/>
        </w:rPr>
        <w:t>分（北京时间），逾期将不被受理（以邮件送达时间为准）。</w:t>
      </w:r>
    </w:p>
    <w:p w14:paraId="2CFA7999">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三</w:t>
      </w:r>
      <w:r>
        <w:rPr>
          <w:rFonts w:hint="eastAsia" w:ascii="宋体" w:hAnsi="宋体" w:eastAsia="宋体" w:cs="宋体"/>
          <w:color w:val="000000"/>
          <w:sz w:val="21"/>
          <w:szCs w:val="21"/>
          <w:shd w:val="clear" w:color="auto" w:fill="FFFFFF"/>
        </w:rPr>
        <w:t>）发布公告的媒介：</w:t>
      </w:r>
      <w:r>
        <w:rPr>
          <w:rFonts w:hint="eastAsia" w:ascii="宋体" w:hAnsi="宋体" w:eastAsia="宋体" w:cs="宋体"/>
          <w:color w:val="000000"/>
          <w:sz w:val="21"/>
          <w:szCs w:val="21"/>
          <w:shd w:val="clear" w:color="auto" w:fill="FFFFFF"/>
          <w:lang w:val="en-US" w:eastAsia="zh-CN"/>
        </w:rPr>
        <w:t>云南省第一人民</w:t>
      </w:r>
      <w:r>
        <w:rPr>
          <w:rFonts w:hint="eastAsia" w:ascii="宋体" w:hAnsi="宋体" w:eastAsia="宋体" w:cs="宋体"/>
          <w:color w:val="000000"/>
          <w:sz w:val="21"/>
          <w:szCs w:val="21"/>
          <w:shd w:val="clear" w:color="auto" w:fill="FFFFFF"/>
        </w:rPr>
        <w:t>医院官网、</w:t>
      </w:r>
      <w:r>
        <w:rPr>
          <w:rFonts w:hint="eastAsia" w:ascii="宋体" w:hAnsi="宋体" w:eastAsia="宋体" w:cs="宋体"/>
          <w:color w:val="000000"/>
          <w:sz w:val="21"/>
          <w:szCs w:val="21"/>
          <w:shd w:val="clear" w:color="auto" w:fill="FFFFFF"/>
          <w:lang w:val="en-US" w:eastAsia="zh-CN"/>
        </w:rPr>
        <w:t>云南冠睿咨询有限公司官网</w:t>
      </w:r>
      <w:r>
        <w:rPr>
          <w:rFonts w:hint="eastAsia" w:ascii="宋体" w:hAnsi="宋体" w:eastAsia="宋体" w:cs="宋体"/>
          <w:color w:val="000000"/>
          <w:sz w:val="21"/>
          <w:szCs w:val="21"/>
          <w:shd w:val="clear" w:color="auto" w:fill="FFFFFF"/>
        </w:rPr>
        <w:t>、中国招标投标公共服务平台</w:t>
      </w:r>
      <w:r>
        <w:rPr>
          <w:rFonts w:hint="eastAsia" w:ascii="宋体" w:hAnsi="宋体" w:eastAsia="宋体" w:cs="宋体"/>
          <w:color w:val="000000"/>
          <w:sz w:val="21"/>
          <w:szCs w:val="21"/>
          <w:shd w:val="clear" w:color="auto" w:fill="FFFFFF"/>
          <w:lang w:eastAsia="zh-CN"/>
        </w:rPr>
        <w:t>。</w:t>
      </w:r>
    </w:p>
    <w:p w14:paraId="55E22685">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四</w:t>
      </w:r>
      <w:r>
        <w:rPr>
          <w:rFonts w:hint="eastAsia" w:ascii="宋体" w:hAnsi="宋体" w:eastAsia="宋体" w:cs="宋体"/>
          <w:color w:val="000000"/>
          <w:sz w:val="21"/>
          <w:szCs w:val="21"/>
          <w:shd w:val="clear" w:color="auto" w:fill="FFFFFF"/>
        </w:rPr>
        <w:t>）本次咨询属于自愿、无偿参与，各供应商所提供的材料无论是否被采纳，均不给予费用补偿或奖励。各供应商须确保所提供内容真实、准确和不构成知识产权侵权行为。</w:t>
      </w:r>
    </w:p>
    <w:p w14:paraId="73384C40">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五</w:t>
      </w:r>
      <w:r>
        <w:rPr>
          <w:rFonts w:hint="eastAsia" w:ascii="宋体" w:hAnsi="宋体" w:eastAsia="宋体" w:cs="宋体"/>
          <w:color w:val="000000"/>
          <w:sz w:val="21"/>
          <w:szCs w:val="21"/>
          <w:shd w:val="clear" w:color="auto" w:fill="FFFFFF"/>
        </w:rPr>
        <w:t>）根据相关法律规定，禁止响应人相互串通投标。响应人相互串通投标构成犯罪的，由司法机关依法追究刑事责任；尚不构成犯罪的，由行政监督部门依照相关法律法规规定处罚。响应人相互串通投标中标的，成交无效。</w:t>
      </w:r>
    </w:p>
    <w:p w14:paraId="54BC9833">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lang w:val="en-US" w:eastAsia="zh-CN"/>
        </w:rPr>
        <w:t>六</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为保证采购工作的公平、公正以及延续性，符合条件的潜在供应商需参与咨询会后，方有资格进入该项目的院内采购谈判，且在采购谈判时递交的产品应与咨询会产品保持一致。非院内采购则不受上述条件限制。</w:t>
      </w:r>
    </w:p>
    <w:p w14:paraId="26B3E645">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w:t>
      </w:r>
      <w:r>
        <w:rPr>
          <w:rFonts w:hint="eastAsia" w:ascii="宋体" w:hAnsi="宋体" w:eastAsia="宋体" w:cs="宋体"/>
          <w:color w:val="000000"/>
          <w:sz w:val="21"/>
          <w:szCs w:val="21"/>
          <w:shd w:val="clear" w:color="auto" w:fill="FFFFFF"/>
          <w:lang w:val="en-US" w:eastAsia="zh-CN"/>
        </w:rPr>
        <w:t>七</w:t>
      </w:r>
      <w:r>
        <w:rPr>
          <w:rFonts w:hint="eastAsia" w:ascii="宋体" w:hAnsi="宋体" w:eastAsia="宋体" w:cs="宋体"/>
          <w:color w:val="000000"/>
          <w:sz w:val="21"/>
          <w:szCs w:val="21"/>
          <w:shd w:val="clear" w:color="auto" w:fill="FFFFFF"/>
        </w:rPr>
        <w:t>）本次咨询的解释权归</w:t>
      </w:r>
      <w:r>
        <w:rPr>
          <w:rFonts w:hint="eastAsia" w:ascii="宋体" w:hAnsi="宋体" w:eastAsia="宋体" w:cs="宋体"/>
          <w:color w:val="000000"/>
          <w:sz w:val="21"/>
          <w:szCs w:val="21"/>
          <w:shd w:val="clear" w:color="auto" w:fill="FFFFFF"/>
          <w:lang w:val="en-US" w:eastAsia="zh-CN"/>
        </w:rPr>
        <w:t>采购人、采购代理机构</w:t>
      </w:r>
      <w:r>
        <w:rPr>
          <w:rFonts w:hint="eastAsia" w:ascii="宋体" w:hAnsi="宋体" w:eastAsia="宋体" w:cs="宋体"/>
          <w:color w:val="000000"/>
          <w:sz w:val="21"/>
          <w:szCs w:val="21"/>
          <w:shd w:val="clear" w:color="auto" w:fill="FFFFFF"/>
        </w:rPr>
        <w:t>所有。</w:t>
      </w:r>
      <w:r>
        <w:rPr>
          <w:rFonts w:hint="eastAsia" w:ascii="宋体" w:hAnsi="宋体" w:eastAsia="宋体" w:cs="宋体"/>
          <w:color w:val="000000"/>
          <w:sz w:val="21"/>
          <w:szCs w:val="21"/>
          <w:shd w:val="clear" w:color="auto" w:fill="FFFFFF"/>
        </w:rPr>
        <w:br w:type="page"/>
      </w:r>
    </w:p>
    <w:p w14:paraId="42B80E69">
      <w:pPr>
        <w:jc w:val="left"/>
        <w:rPr>
          <w:rFonts w:hint="default" w:ascii="宋体" w:hAnsi="宋体" w:eastAsia="宋体" w:cs="宋体"/>
          <w:b/>
          <w:bCs/>
          <w:i w:val="0"/>
          <w:iCs w:val="0"/>
          <w:color w:val="000000"/>
          <w:kern w:val="0"/>
          <w:sz w:val="40"/>
          <w:szCs w:val="40"/>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7"/>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3056"/>
        <w:gridCol w:w="1474"/>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255E6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74C8C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1</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CA0340">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一体式睡眠筛查系统</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EF402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FA2542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90E6F9">
            <w:pPr>
              <w:jc w:val="center"/>
              <w:rPr>
                <w:rFonts w:hint="eastAsia" w:ascii="宋体" w:hAnsi="宋体" w:eastAsia="宋体" w:cs="宋体"/>
                <w:i w:val="0"/>
                <w:iCs w:val="0"/>
                <w:color w:val="000000"/>
                <w:sz w:val="20"/>
                <w:szCs w:val="20"/>
                <w:u w:val="none"/>
              </w:rPr>
            </w:pPr>
          </w:p>
        </w:tc>
      </w:tr>
      <w:tr w14:paraId="7D541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6F586A5">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2</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FD2E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内脏脂肪检测装置</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FF6917F">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C42E1B">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AFFBB2">
            <w:pPr>
              <w:jc w:val="center"/>
              <w:rPr>
                <w:rFonts w:hint="eastAsia" w:ascii="宋体" w:hAnsi="宋体" w:eastAsia="宋体" w:cs="宋体"/>
                <w:i w:val="0"/>
                <w:iCs w:val="0"/>
                <w:color w:val="000000"/>
                <w:sz w:val="20"/>
                <w:szCs w:val="20"/>
                <w:u w:val="none"/>
              </w:rPr>
            </w:pPr>
          </w:p>
        </w:tc>
      </w:tr>
      <w:tr w14:paraId="1B358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76E45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3</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82DCC2">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动脉硬化检测装置</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555AF09">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599F8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298822D">
            <w:pPr>
              <w:jc w:val="center"/>
              <w:rPr>
                <w:rFonts w:hint="eastAsia" w:ascii="宋体" w:hAnsi="宋体" w:eastAsia="宋体" w:cs="宋体"/>
                <w:i w:val="0"/>
                <w:iCs w:val="0"/>
                <w:color w:val="000000"/>
                <w:sz w:val="20"/>
                <w:szCs w:val="20"/>
                <w:u w:val="none"/>
              </w:rPr>
            </w:pPr>
          </w:p>
        </w:tc>
      </w:tr>
      <w:tr w14:paraId="3C0F43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2BEF3">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4</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9119F9">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全自动免散瞳眼底照相机</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62C983">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4D19A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E17465">
            <w:pPr>
              <w:jc w:val="center"/>
              <w:rPr>
                <w:rFonts w:hint="eastAsia" w:ascii="宋体" w:hAnsi="宋体" w:eastAsia="宋体" w:cs="宋体"/>
                <w:i w:val="0"/>
                <w:iCs w:val="0"/>
                <w:color w:val="000000"/>
                <w:sz w:val="20"/>
                <w:szCs w:val="20"/>
                <w:u w:val="none"/>
              </w:rPr>
            </w:pPr>
          </w:p>
        </w:tc>
      </w:tr>
      <w:tr w14:paraId="41FFA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61F668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5</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97E30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脂肪肝治疗仪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1377C98">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475A59">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A72789">
            <w:pPr>
              <w:jc w:val="center"/>
              <w:rPr>
                <w:rFonts w:hint="eastAsia" w:ascii="宋体" w:hAnsi="宋体" w:eastAsia="宋体" w:cs="宋体"/>
                <w:i w:val="0"/>
                <w:iCs w:val="0"/>
                <w:color w:val="000000"/>
                <w:sz w:val="20"/>
                <w:szCs w:val="20"/>
                <w:u w:val="none"/>
              </w:rPr>
            </w:pPr>
          </w:p>
        </w:tc>
      </w:tr>
      <w:tr w14:paraId="25DB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20E5567">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6</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7681394">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燃脂炮</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89E77">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6CE164A">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7CF613">
            <w:pPr>
              <w:jc w:val="center"/>
              <w:rPr>
                <w:rFonts w:hint="eastAsia" w:ascii="宋体" w:hAnsi="宋体" w:eastAsia="宋体" w:cs="宋体"/>
                <w:i w:val="0"/>
                <w:iCs w:val="0"/>
                <w:color w:val="000000"/>
                <w:sz w:val="20"/>
                <w:szCs w:val="20"/>
                <w:u w:val="none"/>
              </w:rPr>
            </w:pPr>
          </w:p>
        </w:tc>
      </w:tr>
      <w:tr w14:paraId="7C2CA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485357C">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7</w:t>
            </w:r>
          </w:p>
        </w:tc>
        <w:tc>
          <w:tcPr>
            <w:tcW w:w="305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0E6E43E">
            <w:pPr>
              <w:keepNext w:val="0"/>
              <w:keepLines w:val="0"/>
              <w:widowControl/>
              <w:suppressLineNumbers w:val="0"/>
              <w:jc w:val="center"/>
              <w:textAlignment w:val="center"/>
              <w:rPr>
                <w:rFonts w:hint="eastAsia" w:ascii="宋体" w:hAnsi="宋体" w:eastAsia="宋体" w:cs="宋体"/>
                <w:b w:val="0"/>
                <w:bCs w:val="0"/>
                <w:i w:val="0"/>
                <w:iCs w:val="0"/>
                <w:color w:val="000000"/>
                <w:kern w:val="0"/>
                <w:sz w:val="20"/>
                <w:szCs w:val="20"/>
                <w:u w:val="none"/>
                <w:lang w:val="en-US" w:eastAsia="zh-CN" w:bidi="ar"/>
              </w:rPr>
            </w:pPr>
            <w:r>
              <w:rPr>
                <w:rFonts w:hint="eastAsia" w:ascii="宋体" w:hAnsi="宋体" w:eastAsia="宋体" w:cs="宋体"/>
                <w:b w:val="0"/>
                <w:bCs w:val="0"/>
                <w:i w:val="0"/>
                <w:iCs w:val="0"/>
                <w:color w:val="000000"/>
                <w:kern w:val="0"/>
                <w:sz w:val="21"/>
                <w:szCs w:val="20"/>
                <w:u w:val="none"/>
                <w:lang w:val="en-US" w:eastAsia="zh-CN" w:bidi="ar"/>
              </w:rPr>
              <w:t>碘元素全自动检测仪</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4B2BA5">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24F5121">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DFD795">
            <w:pPr>
              <w:jc w:val="center"/>
              <w:rPr>
                <w:rFonts w:hint="eastAsia" w:ascii="宋体" w:hAnsi="宋体" w:eastAsia="宋体" w:cs="宋体"/>
                <w:i w:val="0"/>
                <w:iCs w:val="0"/>
                <w:color w:val="000000"/>
                <w:sz w:val="20"/>
                <w:szCs w:val="20"/>
                <w:u w:val="none"/>
              </w:rPr>
            </w:pPr>
          </w:p>
        </w:tc>
      </w:tr>
    </w:tbl>
    <w:p w14:paraId="08AAC32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758F67DB">
      <w:pPr>
        <w:pStyle w:val="5"/>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万（含设备）；3年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万（含设备）；5年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万（含设备）；</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5"/>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6"/>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6"/>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6"/>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73C6B065">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115AD9">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5"/>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7"/>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3"/>
        <w:rPr>
          <w:rFonts w:hint="eastAsia" w:eastAsiaTheme="minorEastAsia"/>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altName w:val="Calibri"/>
    <w:panose1 w:val="020F0302020204030204"/>
    <w:charset w:val="00"/>
    <w:family w:val="auto"/>
    <w:pitch w:val="default"/>
    <w:sig w:usb0="00000000" w:usb1="00000000"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Y1NTMzYmViNWYxZGM3Yzk4YWE4ZTBkMTEyMTNlNDUifQ=="/>
  </w:docVars>
  <w:rsids>
    <w:rsidRoot w:val="F6FFD911"/>
    <w:rsid w:val="00522102"/>
    <w:rsid w:val="0261487E"/>
    <w:rsid w:val="02B250DA"/>
    <w:rsid w:val="035E4350"/>
    <w:rsid w:val="0D066FBD"/>
    <w:rsid w:val="0F7C426E"/>
    <w:rsid w:val="104F3F68"/>
    <w:rsid w:val="12312DF8"/>
    <w:rsid w:val="129341DF"/>
    <w:rsid w:val="14263231"/>
    <w:rsid w:val="16D57191"/>
    <w:rsid w:val="194B408E"/>
    <w:rsid w:val="1AE17EB2"/>
    <w:rsid w:val="1C0876C1"/>
    <w:rsid w:val="1CD3583C"/>
    <w:rsid w:val="1D066B39"/>
    <w:rsid w:val="1D1C78C7"/>
    <w:rsid w:val="1D467607"/>
    <w:rsid w:val="1D7F2867"/>
    <w:rsid w:val="1F43738D"/>
    <w:rsid w:val="21CF315A"/>
    <w:rsid w:val="21DC13D3"/>
    <w:rsid w:val="250273A3"/>
    <w:rsid w:val="288527C5"/>
    <w:rsid w:val="294F692F"/>
    <w:rsid w:val="2E2760CC"/>
    <w:rsid w:val="2F5E4123"/>
    <w:rsid w:val="358B6F41"/>
    <w:rsid w:val="36486BE0"/>
    <w:rsid w:val="378B3228"/>
    <w:rsid w:val="38B65706"/>
    <w:rsid w:val="39E9689A"/>
    <w:rsid w:val="3A2E17DC"/>
    <w:rsid w:val="3CAC1FDE"/>
    <w:rsid w:val="3E1201FF"/>
    <w:rsid w:val="3ED656D0"/>
    <w:rsid w:val="400B75FC"/>
    <w:rsid w:val="41110C42"/>
    <w:rsid w:val="417D62D7"/>
    <w:rsid w:val="41E41EB2"/>
    <w:rsid w:val="48AB197C"/>
    <w:rsid w:val="495B1ED8"/>
    <w:rsid w:val="497B63DE"/>
    <w:rsid w:val="4CFA0F4D"/>
    <w:rsid w:val="4D9F3131"/>
    <w:rsid w:val="4DD454D1"/>
    <w:rsid w:val="4E577EB0"/>
    <w:rsid w:val="4E597784"/>
    <w:rsid w:val="4EF417A5"/>
    <w:rsid w:val="4FFF6109"/>
    <w:rsid w:val="515661FD"/>
    <w:rsid w:val="521F6F37"/>
    <w:rsid w:val="570C5E6E"/>
    <w:rsid w:val="58DC348C"/>
    <w:rsid w:val="5B1B351D"/>
    <w:rsid w:val="5CDA5F34"/>
    <w:rsid w:val="5E4F0F98"/>
    <w:rsid w:val="619F599E"/>
    <w:rsid w:val="61A11716"/>
    <w:rsid w:val="61D27B22"/>
    <w:rsid w:val="61DF5D9B"/>
    <w:rsid w:val="636B5B38"/>
    <w:rsid w:val="64F61D79"/>
    <w:rsid w:val="669379A8"/>
    <w:rsid w:val="678E5CB1"/>
    <w:rsid w:val="6853303E"/>
    <w:rsid w:val="689C2C37"/>
    <w:rsid w:val="696E0130"/>
    <w:rsid w:val="6A7554EE"/>
    <w:rsid w:val="6C5C0714"/>
    <w:rsid w:val="6C725260"/>
    <w:rsid w:val="6DE634C7"/>
    <w:rsid w:val="6F09453C"/>
    <w:rsid w:val="70D07922"/>
    <w:rsid w:val="75F30B6F"/>
    <w:rsid w:val="7766613E"/>
    <w:rsid w:val="78632E2A"/>
    <w:rsid w:val="793D7B1F"/>
    <w:rsid w:val="7A2A00A3"/>
    <w:rsid w:val="7A374599"/>
    <w:rsid w:val="7DEC566F"/>
    <w:rsid w:val="7E200366"/>
    <w:rsid w:val="7EF944E8"/>
    <w:rsid w:val="7F24636A"/>
    <w:rsid w:val="7F6F47AA"/>
    <w:rsid w:val="7FF37189"/>
    <w:rsid w:val="7FFD61ED"/>
    <w:rsid w:val="F6FFD9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semiHidden/>
    <w:unhideWhenUsed/>
    <w:qFormat/>
    <w:uiPriority w:val="99"/>
    <w:pPr>
      <w:ind w:firstLine="420"/>
    </w:pPr>
  </w:style>
  <w:style w:type="paragraph" w:styleId="4">
    <w:name w:val="annotation text"/>
    <w:basedOn w:val="1"/>
    <w:qFormat/>
    <w:uiPriority w:val="0"/>
    <w:pPr>
      <w:jc w:val="left"/>
    </w:pPr>
  </w:style>
  <w:style w:type="paragraph" w:styleId="5">
    <w:name w:val="Plain Text"/>
    <w:basedOn w:val="1"/>
    <w:next w:val="3"/>
    <w:qFormat/>
    <w:uiPriority w:val="0"/>
    <w:rPr>
      <w:rFonts w:ascii="宋体"/>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autoRedefine/>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4008</Words>
  <Characters>4131</Characters>
  <Lines>0</Lines>
  <Paragraphs>0</Paragraphs>
  <TotalTime>1</TotalTime>
  <ScaleCrop>false</ScaleCrop>
  <LinksUpToDate>false</LinksUpToDate>
  <CharactersWithSpaces>4148</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2025-09-16T19:44:00Z</dcterms:created>
  <dc:creator>冠睿</dc:creator>
  <cp:lastModifiedBy>敏</cp:lastModifiedBy>
  <dcterms:modified xsi:type="dcterms:W3CDTF">2026-02-11T09:13:39Z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DE442B6BDCD14D86A69EBB826E142F42_13</vt:lpwstr>
  </property>
  <property fmtid="{D5CDD505-2E9C-101B-9397-08002B2CF9AE}" pid="4" name="KSOTemplateDocerSaveRecord">
    <vt:lpwstr>eyJoZGlkIjoiMWU3NzNkMmU2ZjhiYzlkNzk2ZTkxYTdiY2UxNDk1NmMiLCJ1c2VySWQiOiIyNjIxMTQ4ODEifQ==</vt:lpwstr>
  </property>
</Properties>
</file>