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6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省一院临床实验室运行监控及管理平台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项目建设方案</w:t>
      </w:r>
    </w:p>
    <w:p w14:paraId="43DD3773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 w14:paraId="1578CB4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 w14:paraId="45D0739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 w14:paraId="4CE3AB4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 w14:paraId="4EC25C0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 w14:paraId="50D0F5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 w14:paraId="2E3DD59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 w14:paraId="2059B0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 w14:paraId="3E4AC15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 w14:paraId="646735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 w14:paraId="110D0D9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 w14:paraId="570E8C8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 w14:paraId="1FBFB474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left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服务要求</w:t>
      </w:r>
    </w:p>
    <w:p w14:paraId="0BFDB69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 w14:paraId="21561418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 w14:paraId="68F6ACFB"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ACE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DD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6F6DE26B"/>
    <w:multiLevelType w:val="singleLevel"/>
    <w:tmpl w:val="6F6DE26B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0DBD"/>
    <w:rsid w:val="2F0B5CDE"/>
    <w:rsid w:val="5FEC5F66"/>
    <w:rsid w:val="74D67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549</Characters>
  <TotalTime>0</TotalTime>
  <ScaleCrop>false</ScaleCrop>
  <LinksUpToDate>false</LinksUpToDate>
  <CharactersWithSpaces>551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QGY</cp:lastModifiedBy>
  <dcterms:modified xsi:type="dcterms:W3CDTF">2026-02-06T01:49:15Z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eyJoZGlkIjoiZDZmMjM5MTk1MDk3YTA0YTdmMzdiNTI0MzVhOThiZmIiLCJ1c2VySWQiOiIxMTM1NTk2NTk2In0=</vt:lpwstr>
  </property>
  <property fmtid="{D5CDD505-2E9C-101B-9397-08002B2CF9AE}" pid="3" name="KSOProductBuildVer">
    <vt:lpwstr>2052-12.1.0.24657</vt:lpwstr>
  </property>
  <property fmtid="{D5CDD505-2E9C-101B-9397-08002B2CF9AE}" pid="4" name="ICV">
    <vt:lpwstr>BA412C0ECABF46D788EBEB73AFB1F318_13</vt:lpwstr>
  </property>
</Properties>
</file>