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BFDE3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ascii="方正小标宋_GBK" w:hAnsi="方正小标宋_GBK" w:eastAsia="方正小标宋_GBK" w:cs="方正小标宋_GBK"/>
          <w:b/>
          <w:bCs/>
          <w:color w:val="FF0000"/>
          <w:spacing w:val="6"/>
          <w:sz w:val="36"/>
          <w:szCs w:val="36"/>
          <w:u w:val="single"/>
        </w:rPr>
      </w:pPr>
      <w:bookmarkStart w:id="0" w:name="heading_0"/>
      <w:r>
        <w:rPr>
          <w:rFonts w:hint="eastAsia" w:ascii="方正小标宋_GBK" w:hAnsi="方正小标宋_GBK" w:eastAsia="方正小标宋_GBK" w:cs="方正小标宋_GBK"/>
          <w:b/>
          <w:bCs/>
          <w:color w:val="FF0000"/>
          <w:spacing w:val="6"/>
          <w:sz w:val="36"/>
          <w:szCs w:val="36"/>
          <w:u w:val="single"/>
        </w:rPr>
        <w:t>云南省第一人民医院生殖医学科</w:t>
      </w:r>
    </w:p>
    <w:p w14:paraId="6AE7CBD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ascii="方正小标宋_GBK" w:hAnsi="方正小标宋_GBK" w:eastAsia="方正小标宋_GBK" w:cs="方正小标宋_GBK"/>
          <w:b/>
          <w:bCs/>
          <w:color w:val="FF0000"/>
          <w:spacing w:val="6"/>
          <w:sz w:val="36"/>
          <w:szCs w:val="36"/>
          <w:u w:val="single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FF0000"/>
          <w:spacing w:val="6"/>
          <w:sz w:val="36"/>
          <w:szCs w:val="36"/>
          <w:u w:val="single"/>
        </w:rPr>
        <w:t>分子诊断信息管理系统</w:t>
      </w:r>
    </w:p>
    <w:p w14:paraId="5985251E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ascii="方正小标宋_GBK" w:hAnsi="方正小标宋_GBK" w:eastAsia="方正小标宋_GBK" w:cs="方正小标宋_GBK"/>
          <w:b/>
          <w:bCs/>
          <w:spacing w:val="6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bCs/>
          <w:spacing w:val="6"/>
          <w:sz w:val="36"/>
          <w:szCs w:val="36"/>
        </w:rPr>
        <w:t>项目需求方案</w:t>
      </w:r>
    </w:p>
    <w:p w14:paraId="63EDDA85">
      <w:pPr>
        <w:spacing w:before="320" w:after="120" w:line="288" w:lineRule="auto"/>
        <w:jc w:val="left"/>
        <w:outlineLvl w:val="1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sz w:val="32"/>
        </w:rPr>
        <w:t>一、项目需求理解分析</w:t>
      </w:r>
      <w:bookmarkEnd w:id="0"/>
    </w:p>
    <w:p w14:paraId="36E50C5D">
      <w:pPr>
        <w:numPr>
          <w:ilvl w:val="0"/>
          <w:numId w:val="1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业务分析：梳理职能相关业务功能、流程及处理量等核心逻辑</w:t>
      </w:r>
    </w:p>
    <w:p w14:paraId="0C1822C8">
      <w:pPr>
        <w:numPr>
          <w:ilvl w:val="0"/>
          <w:numId w:val="2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数据量分析：基于业务逻辑，测算数据处理、存储、传输量及网络带宽需求</w:t>
      </w:r>
    </w:p>
    <w:p w14:paraId="14FB01B7">
      <w:pPr>
        <w:numPr>
          <w:ilvl w:val="0"/>
          <w:numId w:val="3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系统需求分析：结合前述分析，明确系统功能与性能需求，确定处理、存储、传输能力总量指标</w:t>
      </w:r>
    </w:p>
    <w:p w14:paraId="7C7D7FA6">
      <w:pPr>
        <w:spacing w:before="320" w:after="120" w:line="288" w:lineRule="auto"/>
        <w:jc w:val="left"/>
        <w:outlineLvl w:val="1"/>
        <w:rPr>
          <w:rFonts w:ascii="方正仿宋_GB2312" w:hAnsi="方正仿宋_GB2312" w:eastAsia="方正仿宋_GB2312" w:cs="方正仿宋_GB2312"/>
        </w:rPr>
      </w:pPr>
      <w:bookmarkStart w:id="1" w:name="heading_1"/>
      <w:r>
        <w:rPr>
          <w:rFonts w:hint="eastAsia" w:ascii="方正仿宋_GB2312" w:hAnsi="方正仿宋_GB2312" w:eastAsia="方正仿宋_GB2312" w:cs="方正仿宋_GB2312"/>
          <w:b/>
          <w:sz w:val="32"/>
        </w:rPr>
        <w:t>二、总体设计方案</w:t>
      </w:r>
      <w:bookmarkEnd w:id="1"/>
    </w:p>
    <w:p w14:paraId="75971004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说明系统整体框架（含内部结构及关联），明确技术路线、业务/数据/拓扑架构及设备部署；配套提供可编辑的各类架构图、部署图</w:t>
      </w:r>
      <w:bookmarkStart w:id="3" w:name="_GoBack"/>
      <w:bookmarkEnd w:id="3"/>
    </w:p>
    <w:p w14:paraId="3F4E6E4D">
      <w:pPr>
        <w:spacing w:before="320" w:after="120" w:line="288" w:lineRule="auto"/>
        <w:jc w:val="left"/>
        <w:outlineLvl w:val="1"/>
        <w:rPr>
          <w:rFonts w:ascii="方正仿宋_GB2312" w:hAnsi="方正仿宋_GB2312" w:eastAsia="方正仿宋_GB2312" w:cs="方正仿宋_GB2312"/>
        </w:rPr>
      </w:pPr>
      <w:bookmarkStart w:id="2" w:name="heading_2"/>
      <w:r>
        <w:rPr>
          <w:rFonts w:hint="eastAsia" w:ascii="方正仿宋_GB2312" w:hAnsi="方正仿宋_GB2312" w:eastAsia="方正仿宋_GB2312" w:cs="方正仿宋_GB2312"/>
          <w:b/>
          <w:sz w:val="32"/>
        </w:rPr>
        <w:t>三、项目细化建设方案</w:t>
      </w:r>
      <w:bookmarkEnd w:id="2"/>
    </w:p>
    <w:p w14:paraId="3EEA5BC3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紧扣功能目标，明确建设内容与需求、设计的逻辑关联；软硬件选型兼顾标准、成熟度、兼容性、性价比及服务能力，指标合理适用</w:t>
      </w:r>
    </w:p>
    <w:p w14:paraId="3FCF0EDF">
      <w:pPr>
        <w:numPr>
          <w:ilvl w:val="0"/>
          <w:numId w:val="4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数据资源建设：遵循国家/行业数据标准，明确数据来源/产生方式；列明跨系统/外部门数据共享情况</w:t>
      </w:r>
    </w:p>
    <w:p w14:paraId="057A6259">
      <w:pPr>
        <w:numPr>
          <w:ilvl w:val="0"/>
          <w:numId w:val="5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应用系统建设：细化各子系统建设内容、技术特征及工作量；基于业务流/数据流优化，制定软件开发方案、设计功能；明确跨部门业务协同及数据共享功能设计</w:t>
      </w:r>
    </w:p>
    <w:p w14:paraId="431BA1EF">
      <w:pPr>
        <w:numPr>
          <w:ilvl w:val="0"/>
          <w:numId w:val="6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计算存储及平台软件建设：明确系统处理能力需求；确定操作系统、数据库等平台软件的技术特征、设计及选型</w:t>
      </w:r>
    </w:p>
    <w:p w14:paraId="1620311B">
      <w:pPr>
        <w:numPr>
          <w:ilvl w:val="0"/>
          <w:numId w:val="7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网络系统建设：设计通信网络结构，说明技术特征、带宽测算、IPv6应用及软硬件设备选型</w:t>
      </w:r>
    </w:p>
    <w:p w14:paraId="6C08A622">
      <w:pPr>
        <w:pStyle w:val="2"/>
        <w:widowControl/>
        <w:numPr>
          <w:ilvl w:val="0"/>
          <w:numId w:val="8"/>
        </w:numPr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方正仿宋_GB2312" w:hAnsi="方正仿宋_GB2312" w:eastAsia="方正仿宋_GB2312" w:cs="方正仿宋_GB2312"/>
          <w:b/>
          <w:sz w:val="32"/>
          <w:szCs w:val="22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22"/>
          <w:lang w:eastAsia="zh-CN"/>
        </w:rPr>
        <w:t>服务要求</w:t>
      </w:r>
    </w:p>
    <w:p w14:paraId="22DA5193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1. 服务保障：含免费质保期、服务计划、服务承诺与保证措施、各类应急预案。</w:t>
      </w:r>
    </w:p>
    <w:p w14:paraId="2C784B8C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2. 服务业绩：可通过咨询会提供视频、图片等资料，供医院深入了解服务情况。</w:t>
      </w:r>
    </w:p>
    <w:p w14:paraId="1DF6F6DA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五、分模块需求</w:t>
      </w:r>
    </w:p>
    <w:tbl>
      <w:tblPr>
        <w:tblStyle w:val="5"/>
        <w:tblpPr w:leftFromText="180" w:rightFromText="180" w:vertAnchor="text" w:horzAnchor="page" w:tblpX="1206" w:tblpY="591"/>
        <w:tblOverlap w:val="never"/>
        <w:tblW w:w="997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1256"/>
        <w:gridCol w:w="7568"/>
      </w:tblGrid>
      <w:tr w14:paraId="1FF483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8DD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子系统名称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5EB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模块名称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8D8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主要建设内容及需求</w:t>
            </w:r>
          </w:p>
        </w:tc>
      </w:tr>
      <w:tr w14:paraId="2192A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1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006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分子诊断信息系统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BF6943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分子报告管理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35F8B3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支持自动抓取</w:t>
            </w:r>
            <w:r>
              <w:rPr>
                <w:rFonts w:hint="eastAsia" w:ascii="宋体" w:hAnsi="宋体" w:eastAsia="宋体" w:cs="宋体"/>
                <w:color w:val="C00000"/>
                <w:sz w:val="22"/>
                <w:lang w:bidi="ar"/>
              </w:rPr>
              <w:t>生殖遗传常见检测体系平台原始数据并进行生物信息学一级、二级及三级分析，对常见遗传病CNV，SNV位置进行提示及注释，可与遗传解读数据库对接。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报告中所有需要的基本信息数据及质控数据，例如样本质控的数据；支持不同项目制定不同模板，上传结果附图；支持报告模板自动生成报告，提供编辑、查看、审核、打印等功能；支持按权限控制报告的审核和取消审核。支持报告状态（编辑、生成、审核、发放等）追踪；支持报告批量打印，并且以不同颜色显示区分不同打印状态的报告。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支持按权限控制报告的审核和取消审核。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 xml:space="preserve">支持报告状态（编辑、生成、审核、发放等）追踪。  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支持报告批量打印，并且以不同颜色显示区分不同打印状态的报告。</w:t>
            </w:r>
          </w:p>
        </w:tc>
      </w:tr>
      <w:tr w14:paraId="546503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11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A3058">
            <w:pPr>
              <w:jc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D6953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试剂耗材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质控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2E6854"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支持试剂耗材管理、标准品管理功能，支持库存管理、出入库、领用、申购管理等工作流程配置，支持耗材品类查询、统计、下载打印耗材相应清单；支持批量的耗材出入库，库存根据出入库自动计算，可分批次查看耗材的库存；支持设置耗材的库存最低值警示值，当库存不足时，自动提醒；支持设置耗材的保质期或者使用次数提醒，到期自动提示；支持试剂使用关联具体项目及具体患者。</w:t>
            </w:r>
            <w:r>
              <w:rPr>
                <w:rFonts w:hint="eastAsia" w:ascii="Cambria" w:hAnsi="Cambria" w:eastAsia="方正仿宋_GB2312" w:cs="Cambria"/>
                <w:color w:val="C00000"/>
                <w:sz w:val="22"/>
                <w:lang w:bidi="ar"/>
              </w:rPr>
              <w:t>与分子测序结果质控关联并分析</w:t>
            </w:r>
            <w:r>
              <w:rPr>
                <w:rFonts w:hint="eastAsia" w:ascii="宋体" w:hAnsi="宋体" w:eastAsia="宋体" w:cs="宋体"/>
                <w:color w:val="C00000"/>
                <w:sz w:val="22"/>
                <w:lang w:bidi="ar"/>
              </w:rPr>
              <w:t>是否为试剂耗材变化引起质量波动。</w:t>
            </w:r>
          </w:p>
        </w:tc>
      </w:tr>
      <w:tr w14:paraId="55B14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1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9714E">
            <w:pPr>
              <w:jc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C8C17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2"/>
                <w:lang w:bidi="ar"/>
              </w:rPr>
              <w:t>设备管理</w:t>
            </w:r>
          </w:p>
        </w:tc>
        <w:tc>
          <w:tcPr>
            <w:tcW w:w="75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1E6FE29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实现</w:t>
            </w:r>
            <w:r>
              <w:rPr>
                <w:rFonts w:hint="eastAsia" w:ascii="Cambria" w:hAnsi="Cambria" w:eastAsia="方正仿宋_GB2312" w:cs="Cambria"/>
                <w:color w:val="000000"/>
                <w:sz w:val="24"/>
                <w:szCs w:val="24"/>
                <w:lang w:bidi="ar"/>
              </w:rPr>
              <w:t>分子检测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设备基本档案及设备维护管理。</w:t>
            </w:r>
          </w:p>
        </w:tc>
      </w:tr>
      <w:tr w14:paraId="7DC44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11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B84B43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1B9D65F9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293D409B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28B15611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4047F8DC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6C883753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09F3BA54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3D967209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07E3D807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08259DCC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32B30BDD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00897554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63C043E3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35377CAA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0BFFF979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生殖遗传</w:t>
            </w:r>
            <w:r>
              <w:rPr>
                <w:rFonts w:hint="eastAsia" w:ascii="Cambria" w:hAnsi="Cambria" w:eastAsia="方正仿宋_GB2312" w:cs="Cambria"/>
                <w:b/>
                <w:bCs/>
                <w:color w:val="EE0000"/>
                <w:sz w:val="24"/>
                <w:szCs w:val="24"/>
                <w:lang w:bidi="ar"/>
              </w:rPr>
              <w:t>实验室管理</w:t>
            </w:r>
            <w:r>
              <w:rPr>
                <w:rFonts w:hint="eastAsia" w:ascii="Cambria" w:hAnsi="Cambria" w:eastAsia="方正仿宋_GB2312" w:cs="Cambria"/>
                <w:b/>
                <w:bCs/>
                <w:color w:val="000000"/>
                <w:sz w:val="24"/>
                <w:szCs w:val="24"/>
                <w:lang w:bidi="ar"/>
              </w:rPr>
              <w:t>及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  <w:t>算力集群系统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1252D2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接诊管理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004783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支持对照样本、家系样本送检信息录入或导入，支持自定义接诊申请单模板，可以根据实际需求灵活设置。</w:t>
            </w:r>
          </w:p>
        </w:tc>
      </w:tr>
      <w:tr w14:paraId="08D86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8F7E7A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3F5A6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样本全流程管理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23A75E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在接诊登记成功后，能够自动生成包含条形码、病人姓名、申请项目等信息的条码标签。同时，支持自定义条码标签内容，用户可以根据实际需求灵活设置，满足不同场景下的使用要求。系统会自动记录详细的日志信息，包括操作时间、操作人员、操作内容等，确保样本处理和数据修改的每一个环节都可追溯，为质量控制和问题追溯提供了有力保障。</w:t>
            </w:r>
          </w:p>
        </w:tc>
      </w:tr>
      <w:tr w14:paraId="20906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0A9AC9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E115CC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Cs w:val="21"/>
                <w:lang w:bidi="ar"/>
              </w:rPr>
              <w:t>全流程质量控制管理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0DE17E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全流程质控管理：建立标准的分子诊断实验室质控流程。从患者接诊、样本质控、病理质控、核酸提取质控、文库质控、上机质控到报告发放实现线上质控流程一体化。实现质控数据的自动流转、质控节点自动授权、质控异常自动预警、质控数据自动归档、质控全流程追踪的闭环管理。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实验室数据质控分析：针对实验过程中出现的非正常实验信息，剖析数据节点，找出流程中存在的问题，提出解决方案、优化实验流程，提升实验工作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效率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。</w:t>
            </w:r>
          </w:p>
        </w:tc>
      </w:tr>
      <w:tr w14:paraId="5A15E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53F4C2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E18D19">
            <w:pPr>
              <w:widowControl/>
              <w:jc w:val="left"/>
              <w:textAlignment w:val="center"/>
              <w:rPr>
                <w:rFonts w:ascii="Cambria Math" w:hAnsi="Cambria Math" w:eastAsia="Cambria Math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数据安全与隔离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EAAA9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数据安全：</w:t>
            </w:r>
            <w:r>
              <w:rPr>
                <w:rFonts w:hint="eastAsia" w:ascii="方正仿宋_GB2312" w:hAnsi="方正仿宋_GB2312" w:eastAsia="方正仿宋_GB2312" w:cs="方正仿宋_GB2312"/>
                <w:color w:val="C00000"/>
                <w:sz w:val="24"/>
                <w:szCs w:val="24"/>
                <w:lang w:bidi="ar"/>
              </w:rPr>
              <w:t>对于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高通量测</w:t>
            </w:r>
            <w:r>
              <w:rPr>
                <w:rFonts w:hint="eastAsia" w:ascii="宋体" w:hAnsi="宋体" w:eastAsia="宋体" w:cs="宋体"/>
                <w:color w:val="C00000"/>
                <w:sz w:val="24"/>
                <w:szCs w:val="24"/>
                <w:lang w:bidi="ar"/>
              </w:rPr>
              <w:t>序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数据、三</w:t>
            </w:r>
            <w:r>
              <w:rPr>
                <w:rFonts w:hint="eastAsia" w:ascii="宋体" w:hAnsi="宋体" w:eastAsia="宋体" w:cs="宋体"/>
                <w:color w:val="C00000"/>
                <w:sz w:val="24"/>
                <w:szCs w:val="24"/>
                <w:lang w:bidi="ar"/>
              </w:rPr>
              <w:t>代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测</w:t>
            </w:r>
            <w:r>
              <w:rPr>
                <w:rFonts w:hint="eastAsia" w:ascii="宋体" w:hAnsi="宋体" w:eastAsia="宋体" w:cs="宋体"/>
                <w:color w:val="C00000"/>
                <w:sz w:val="24"/>
                <w:szCs w:val="24"/>
                <w:lang w:bidi="ar"/>
              </w:rPr>
              <w:t>序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数据等可进行适配、抓取及自动备份</w:t>
            </w:r>
            <w:r>
              <w:rPr>
                <w:rFonts w:hint="eastAsia" w:ascii="Cambria" w:hAnsi="Cambria" w:eastAsia="方正仿宋_GB2312" w:cs="Cambria"/>
                <w:color w:val="000000"/>
                <w:sz w:val="24"/>
                <w:szCs w:val="24"/>
                <w:lang w:bidi="ar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需具备完善的数据备份、恢复机制，防止数据丢失；同时具备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不同</w:t>
            </w:r>
            <w:r>
              <w:rPr>
                <w:rFonts w:hint="eastAsia" w:ascii="宋体" w:hAnsi="宋体" w:eastAsia="宋体" w:cs="宋体"/>
                <w:color w:val="C00000"/>
                <w:sz w:val="24"/>
                <w:szCs w:val="24"/>
                <w:lang w:bidi="ar"/>
              </w:rPr>
              <w:t>层级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访问控制、权限管理功能，确保不同用户仅能访问权限范围内的数据。数据隔离：临床业务数据与科研数据需实现物理或逻辑上的严格隔离。</w:t>
            </w:r>
          </w:p>
        </w:tc>
      </w:tr>
      <w:tr w14:paraId="0B78F2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C303B9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729F2F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数据存储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192C9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初始存储容量需满足临床业务数据需求，同时预留一定扩展空间应对未来数据增长。</w:t>
            </w: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可实时动态与分析系统进行数据</w:t>
            </w:r>
            <w:r>
              <w:rPr>
                <w:rFonts w:hint="eastAsia" w:ascii="宋体" w:hAnsi="宋体" w:eastAsia="宋体" w:cs="宋体"/>
                <w:color w:val="C00000"/>
                <w:sz w:val="24"/>
                <w:szCs w:val="24"/>
                <w:lang w:bidi="ar"/>
              </w:rPr>
              <w:t>交换及备份。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集群存储系统需具备灵活的扩容能力，确保长期使用中存储资源不枯竭。支持数据运行的高速读写，保障临床业务数据处理的高效性。</w:t>
            </w:r>
          </w:p>
        </w:tc>
      </w:tr>
      <w:tr w14:paraId="51AA8D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EE806F">
            <w:pPr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C1F9FE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数据算力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04CAE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具备并行计算能力，满足为临床业务数据需求，保障临床业务的高效开展。同时，需预留部分算力资源供科研使用，支撑科研项目中的大规模数据建模、模拟计算等需求。</w:t>
            </w:r>
          </w:p>
        </w:tc>
      </w:tr>
      <w:tr w14:paraId="755AD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3136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49EBE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管理与监控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AB411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Cambria" w:hAnsi="Cambria" w:eastAsia="方正仿宋_GB2312" w:cs="Cambria"/>
                <w:color w:val="C00000"/>
                <w:sz w:val="24"/>
                <w:szCs w:val="24"/>
                <w:lang w:bidi="ar"/>
              </w:rPr>
              <w:t>配合分子分析软件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后台管理人员需具备统一的集群管理界面，可实时监控集群节点状态、算力资源使用情况、存储容量占用、数据流转等信息；支持对临床与科研资源进行统一调度、分配与管理，具备故障预警、日志审计等功能，保障集群稳定运行。</w:t>
            </w:r>
          </w:p>
        </w:tc>
      </w:tr>
      <w:tr w14:paraId="2DA71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F36264">
            <w:pPr>
              <w:jc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127305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运行与维护监控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D32E61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集群需搭建全面的运维监控平台，实时监测硬件状态（CPU、内存、硬盘、网络）、软件服务运行情况、任务执行进度，支持异常告警（如硬件故障、资源过载）。</w:t>
            </w:r>
          </w:p>
        </w:tc>
      </w:tr>
      <w:tr w14:paraId="6F315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1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EFEC24">
            <w:pPr>
              <w:jc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326D2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人员管理</w:t>
            </w:r>
          </w:p>
        </w:tc>
        <w:tc>
          <w:tcPr>
            <w:tcW w:w="7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54F55">
            <w:pPr>
              <w:widowControl/>
              <w:jc w:val="left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bidi="ar"/>
              </w:rPr>
              <w:t>实现人员档案、人员排班、考勤管理。</w:t>
            </w:r>
          </w:p>
        </w:tc>
      </w:tr>
    </w:tbl>
    <w:p w14:paraId="602E9E26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</w:p>
    <w:p w14:paraId="77760040">
      <w:pPr>
        <w:numPr>
          <w:ilvl w:val="0"/>
          <w:numId w:val="9"/>
        </w:num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 xml:space="preserve">特别说明 </w:t>
      </w:r>
    </w:p>
    <w:p w14:paraId="04F49F66">
      <w:pPr>
        <w:spacing w:before="120" w:after="120" w:line="288" w:lineRule="auto"/>
        <w:jc w:val="left"/>
        <w:rPr>
          <w:rFonts w:ascii="方正仿宋_GB2312" w:hAnsi="方正仿宋_GB2312" w:eastAsia="方正仿宋_GB2312" w:cs="方正仿宋_GB2312"/>
          <w:sz w:val="22"/>
        </w:rPr>
      </w:pPr>
      <w:r>
        <w:rPr>
          <w:rFonts w:hint="eastAsia" w:ascii="方正仿宋_GB2312" w:hAnsi="方正仿宋_GB2312" w:eastAsia="方正仿宋_GB2312" w:cs="方正仿宋_GB2312"/>
          <w:sz w:val="22"/>
        </w:rPr>
        <w:t>此次采购仅咨询软件以及软件运维管理服务，不涉及任何硬件相关。可以提供服务器需求参数供 院方根据实际情况由院方已建机房中划分。</w:t>
      </w:r>
    </w:p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B34499-925B-42F5-B4BA-F19BD89A14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7603A3B-A927-4EEF-82C4-AC276107AA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1A48190-094A-4C4C-8FD3-A7DF88BB6E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3784AC-EEA8-4C24-80AA-52EDE6C957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DCEB7F5-FA8A-471A-9B1D-0998A944033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0016" w:usb3="00000000" w:csb0="00040001" w:csb1="00000000"/>
    <w:embedRegular r:id="rId6" w:fontKey="{EA2267AD-CA72-4171-A039-CA01954F167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1F665B07-5ED8-4AFC-9953-7BBCDA05AE4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2B4E235E-ABE7-4C03-840F-F2D8B6BBCB9E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B9ED4BE1-4321-4C9C-A79F-FF2E244754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">
    <w:nsid w:val="BF205925"/>
    <w:multiLevelType w:val="singleLevel"/>
    <w:tmpl w:val="BF205925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">
    <w:nsid w:val="CF092B84"/>
    <w:multiLevelType w:val="singleLevel"/>
    <w:tmpl w:val="CF092B84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4">
    <w:nsid w:val="03D62ECE"/>
    <w:multiLevelType w:val="singleLevel"/>
    <w:tmpl w:val="03D62ECE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5">
    <w:nsid w:val="25B654F3"/>
    <w:multiLevelType w:val="singleLevel"/>
    <w:tmpl w:val="25B654F3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6">
    <w:nsid w:val="3A66F372"/>
    <w:multiLevelType w:val="singleLevel"/>
    <w:tmpl w:val="3A66F37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9ADCABA"/>
    <w:multiLevelType w:val="singleLevel"/>
    <w:tmpl w:val="59ADCABA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8">
    <w:nsid w:val="6F6DE26B"/>
    <w:multiLevelType w:val="singleLevel"/>
    <w:tmpl w:val="6F6DE26B"/>
    <w:lvl w:ilvl="0" w:tentative="0">
      <w:start w:val="4"/>
      <w:numFmt w:val="chineseCounting"/>
      <w:suff w:val="nothing"/>
      <w:lvlText w:val="(%1）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wNDZjMTc3ZWUyNGIyMWJkZWFhMWViMjNmZDlhYzEifQ=="/>
  </w:docVars>
  <w:rsids>
    <w:rsidRoot w:val="00F9407F"/>
    <w:rsid w:val="0002496E"/>
    <w:rsid w:val="00126C78"/>
    <w:rsid w:val="00153C21"/>
    <w:rsid w:val="0022132F"/>
    <w:rsid w:val="00406401"/>
    <w:rsid w:val="00496430"/>
    <w:rsid w:val="007B7A36"/>
    <w:rsid w:val="007F44C3"/>
    <w:rsid w:val="00E5755A"/>
    <w:rsid w:val="00EC5461"/>
    <w:rsid w:val="00F06FB9"/>
    <w:rsid w:val="00F9407F"/>
    <w:rsid w:val="00FC2F27"/>
    <w:rsid w:val="01A26750"/>
    <w:rsid w:val="0FBD7C49"/>
    <w:rsid w:val="5FEC5F66"/>
    <w:rsid w:val="74D6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2171</Words>
  <Characters>2182</Characters>
  <Lines>67</Lines>
  <Paragraphs>51</Paragraphs>
  <TotalTime>19</TotalTime>
  <ScaleCrop>false</ScaleCrop>
  <LinksUpToDate>false</LinksUpToDate>
  <CharactersWithSpaces>2188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2026-03-17T02:47:00Z</dcterms:created>
  <dc:creator>Apache POI</dc:creator>
  <cp:lastModifiedBy>何忠慧</cp:lastModifiedBy>
  <dcterms:modified xsi:type="dcterms:W3CDTF">2026-03-17T07:02:40Z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eyJoZGlkIjoiZGEyMGYwM2QzZjc1MDNkYTYyYjY4NjQwMTJlNzUzMzgiLCJ1c2VySWQiOiI0NDM1MDIyMTgifQ==</vt:lpwstr>
  </property>
  <property fmtid="{D5CDD505-2E9C-101B-9397-08002B2CF9AE}" pid="3" name="KSOProductBuildVer">
    <vt:lpwstr>2052-12.1.0.18608</vt:lpwstr>
  </property>
  <property fmtid="{D5CDD505-2E9C-101B-9397-08002B2CF9AE}" pid="4" name="ICV">
    <vt:lpwstr>56FAA47C417647D693D3E199497BCC6F_13</vt:lpwstr>
  </property>
</Properties>
</file>