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B3EDAC">
      <w:pPr>
        <w:spacing w:line="360" w:lineRule="auto"/>
        <w:jc w:val="center"/>
        <w:rPr>
          <w:rFonts w:hint="eastAsia" w:ascii="宋体" w:hAnsi="宋体" w:eastAsia="宋体"/>
          <w:b/>
          <w:bCs/>
          <w:sz w:val="72"/>
          <w:szCs w:val="72"/>
        </w:rPr>
      </w:pPr>
      <w:bookmarkStart w:id="1" w:name="_GoBack"/>
      <w:bookmarkEnd w:id="1"/>
      <w:r>
        <w:rPr>
          <w:rFonts w:ascii="宋体" w:hAnsi="宋体" w:eastAsia="宋体"/>
          <w:b/>
          <w:bCs/>
          <w:sz w:val="72"/>
          <w:szCs w:val="72"/>
        </w:rPr>
        <w:t>云南省第一人民医院慢性疼痛康复训练软件服务2026－2028年项目</w:t>
      </w:r>
    </w:p>
    <w:p w14:paraId="5B559A51">
      <w:pPr>
        <w:spacing w:line="360" w:lineRule="auto"/>
        <w:jc w:val="center"/>
        <w:rPr>
          <w:rFonts w:hint="eastAsia" w:ascii="宋体" w:hAnsi="宋体" w:eastAsia="宋体"/>
          <w:b/>
          <w:bCs/>
          <w:sz w:val="72"/>
          <w:szCs w:val="72"/>
          <w:lang w:val="en-US" w:eastAsia="zh-CN"/>
        </w:rPr>
      </w:pPr>
      <w:r>
        <w:rPr>
          <w:rFonts w:hint="eastAsia" w:ascii="宋体" w:hAnsi="宋体" w:eastAsia="宋体"/>
          <w:b/>
          <w:bCs/>
          <w:sz w:val="72"/>
          <w:szCs w:val="72"/>
          <w:lang w:val="en-US" w:eastAsia="zh-CN"/>
        </w:rPr>
        <w:t>咨询要求</w:t>
      </w:r>
    </w:p>
    <w:p w14:paraId="52244750">
      <w:pPr>
        <w:spacing w:line="360" w:lineRule="auto"/>
        <w:jc w:val="center"/>
        <w:rPr>
          <w:rFonts w:hint="default" w:ascii="宋体" w:hAnsi="宋体" w:eastAsia="宋体"/>
          <w:b/>
          <w:bCs/>
          <w:sz w:val="72"/>
          <w:szCs w:val="72"/>
          <w:lang w:val="en-US" w:eastAsia="zh-CN"/>
        </w:rPr>
      </w:pPr>
    </w:p>
    <w:p w14:paraId="5D1E0A4B">
      <w:pPr>
        <w:widowControl/>
        <w:rPr>
          <w:rFonts w:hint="eastAsia" w:ascii="宋体" w:hAnsi="宋体" w:eastAsia="宋体"/>
          <w:b/>
          <w:bCs/>
          <w:sz w:val="52"/>
          <w:szCs w:val="52"/>
        </w:rPr>
      </w:pPr>
      <w:r>
        <w:rPr>
          <w:rFonts w:hint="eastAsia" w:ascii="宋体" w:hAnsi="宋体" w:eastAsia="宋体"/>
          <w:b/>
          <w:bCs/>
          <w:sz w:val="52"/>
          <w:szCs w:val="52"/>
        </w:rPr>
        <w:br w:type="page"/>
      </w:r>
    </w:p>
    <w:p w14:paraId="7E0E0750">
      <w:pPr>
        <w:spacing w:line="360" w:lineRule="auto"/>
        <w:rPr>
          <w:rFonts w:hint="eastAsia" w:ascii="宋体" w:hAnsi="宋体" w:eastAsia="宋体"/>
          <w:b/>
          <w:bCs/>
          <w:sz w:val="24"/>
        </w:rPr>
      </w:pPr>
      <w:bookmarkStart w:id="0" w:name="heading_0"/>
      <w:r>
        <w:rPr>
          <w:rFonts w:hint="eastAsia" w:ascii="宋体" w:hAnsi="宋体" w:eastAsia="宋体"/>
          <w:b/>
          <w:bCs/>
          <w:sz w:val="24"/>
        </w:rPr>
        <w:t>一、</w:t>
      </w:r>
      <w:r>
        <w:rPr>
          <w:rFonts w:ascii="宋体" w:hAnsi="宋体" w:eastAsia="宋体"/>
          <w:b/>
          <w:bCs/>
          <w:sz w:val="24"/>
        </w:rPr>
        <w:t>服务内容</w:t>
      </w:r>
      <w:bookmarkEnd w:id="0"/>
    </w:p>
    <w:p w14:paraId="21C37C23">
      <w:pPr>
        <w:spacing w:after="0" w:line="360" w:lineRule="auto"/>
        <w:rPr>
          <w:rFonts w:ascii="宋体" w:hAnsi="宋体" w:eastAsia="宋体"/>
          <w:sz w:val="24"/>
        </w:rPr>
      </w:pPr>
      <w:r>
        <w:rPr>
          <w:rFonts w:ascii="宋体" w:hAnsi="宋体" w:eastAsia="宋体"/>
          <w:sz w:val="24"/>
        </w:rPr>
        <w:t>服务提供方需在三年服务期内，</w:t>
      </w:r>
      <w:r>
        <w:rPr>
          <w:rFonts w:hint="eastAsia" w:ascii="宋体" w:hAnsi="宋体" w:eastAsia="宋体"/>
          <w:sz w:val="24"/>
        </w:rPr>
        <w:t>为院方提供以下服务</w:t>
      </w:r>
      <w:r>
        <w:rPr>
          <w:rFonts w:ascii="宋体" w:hAnsi="宋体" w:eastAsia="宋体"/>
          <w:sz w:val="24"/>
        </w:rPr>
        <w:t>：</w:t>
      </w:r>
    </w:p>
    <w:tbl>
      <w:tblPr>
        <w:tblStyle w:val="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822"/>
        <w:gridCol w:w="1843"/>
        <w:gridCol w:w="4881"/>
      </w:tblGrid>
      <w:tr w14:paraId="7CEEB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066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BA9D617">
            <w:pPr>
              <w:spacing w:after="0" w:line="360" w:lineRule="auto"/>
              <w:jc w:val="center"/>
              <w:rPr>
                <w:rFonts w:ascii="宋体" w:hAnsi="宋体" w:eastAsia="宋体"/>
                <w:b/>
                <w:bCs/>
                <w:sz w:val="24"/>
              </w:rPr>
            </w:pPr>
            <w:r>
              <w:rPr>
                <w:rFonts w:ascii="宋体" w:hAnsi="宋体" w:eastAsia="宋体"/>
                <w:b/>
                <w:bCs/>
                <w:sz w:val="24"/>
              </w:rPr>
              <w:t>服务大类</w:t>
            </w:r>
          </w:p>
        </w:tc>
        <w:tc>
          <w:tcPr>
            <w:tcW w:w="1078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D870074">
            <w:pPr>
              <w:spacing w:after="0" w:line="360" w:lineRule="auto"/>
              <w:jc w:val="center"/>
              <w:rPr>
                <w:rFonts w:ascii="宋体" w:hAnsi="宋体" w:eastAsia="宋体"/>
                <w:b/>
                <w:bCs/>
                <w:sz w:val="24"/>
              </w:rPr>
            </w:pPr>
            <w:r>
              <w:rPr>
                <w:rFonts w:ascii="宋体" w:hAnsi="宋体" w:eastAsia="宋体"/>
                <w:b/>
                <w:bCs/>
                <w:sz w:val="24"/>
              </w:rPr>
              <w:t>细分服务项</w:t>
            </w:r>
          </w:p>
        </w:tc>
        <w:tc>
          <w:tcPr>
            <w:tcW w:w="2856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F2942A6">
            <w:pPr>
              <w:spacing w:after="0" w:line="360" w:lineRule="auto"/>
              <w:jc w:val="center"/>
              <w:rPr>
                <w:rFonts w:ascii="宋体" w:hAnsi="宋体" w:eastAsia="宋体"/>
                <w:b/>
                <w:bCs/>
                <w:sz w:val="24"/>
              </w:rPr>
            </w:pPr>
            <w:r>
              <w:rPr>
                <w:rFonts w:ascii="宋体" w:hAnsi="宋体" w:eastAsia="宋体"/>
                <w:b/>
                <w:bCs/>
                <w:sz w:val="24"/>
              </w:rPr>
              <w:t>具体服务内容</w:t>
            </w:r>
          </w:p>
        </w:tc>
      </w:tr>
      <w:tr w14:paraId="54158B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066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24061B2">
            <w:pPr>
              <w:spacing w:after="0" w:line="360" w:lineRule="auto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专业基础设施服务</w:t>
            </w:r>
          </w:p>
        </w:tc>
        <w:tc>
          <w:tcPr>
            <w:tcW w:w="1078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AF0E346">
            <w:pPr>
              <w:spacing w:after="0" w:line="360" w:lineRule="auto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硬件设备配套服务</w:t>
            </w:r>
          </w:p>
        </w:tc>
        <w:tc>
          <w:tcPr>
            <w:tcW w:w="2856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64BC6C6">
            <w:pPr>
              <w:spacing w:after="0" w:line="360" w:lineRule="auto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由服务提供方全新提供慢性疼痛康复训练所需全套专业硬件设备，统一部署于医院院内；服务方负责上门完成设备安装、调试、部署工作，保障设备正常投入临床使用，同时配套提供专业的设备操作使用培训服务。</w:t>
            </w:r>
          </w:p>
        </w:tc>
      </w:tr>
      <w:tr w14:paraId="6FD1DC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066" w:type="pct"/>
            <w:vMerge w:val="restar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3E39669">
            <w:pPr>
              <w:spacing w:after="0" w:line="360" w:lineRule="auto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软件服务</w:t>
            </w:r>
          </w:p>
        </w:tc>
        <w:tc>
          <w:tcPr>
            <w:tcW w:w="1078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D0E2AE9">
            <w:pPr>
              <w:spacing w:after="0" w:line="360" w:lineRule="auto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核心软件功能</w:t>
            </w:r>
          </w:p>
        </w:tc>
        <w:tc>
          <w:tcPr>
            <w:tcW w:w="2856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39114A6">
            <w:pPr>
              <w:spacing w:after="0" w:line="360" w:lineRule="auto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搭载完整临床适配功能，包含基于脑电的客观疼痛评分、疼痛教育、呼吸训练、专注训练、放松训练、设备管理、报告生成、用户管理、方案管理等核心模块，采用控制端和显示端分离架构，适配临床诊疗场景。</w:t>
            </w:r>
          </w:p>
        </w:tc>
      </w:tr>
      <w:tr w14:paraId="6D97E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066" w:type="pct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C9E727F">
            <w:pPr>
              <w:spacing w:after="0" w:line="360" w:lineRule="auto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078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59B3E69">
            <w:pPr>
              <w:spacing w:after="0" w:line="360" w:lineRule="auto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服务目标</w:t>
            </w:r>
          </w:p>
        </w:tc>
        <w:tc>
          <w:tcPr>
            <w:tcW w:w="2856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FB63EE6">
            <w:pPr>
              <w:spacing w:after="0" w:line="360" w:lineRule="auto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实现慢性疼痛患者客观疼痛评估、个性化康复训练方案定制实施、训练全流程数据闭环管理；为患者提供无创数字化康复训练服务，提升疼痛康复效果；为医护人员提供高效诊疗管理工具，实现疼痛康复训练标准化、数字化升级。</w:t>
            </w:r>
          </w:p>
        </w:tc>
      </w:tr>
      <w:tr w14:paraId="17B6F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066" w:type="pct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A7D0FE7">
            <w:pPr>
              <w:spacing w:after="0" w:line="360" w:lineRule="auto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078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AD7E5AA">
            <w:pPr>
              <w:spacing w:after="0" w:line="360" w:lineRule="auto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实现方式</w:t>
            </w:r>
          </w:p>
        </w:tc>
        <w:tc>
          <w:tcPr>
            <w:tcW w:w="2856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7926EF2">
            <w:pPr>
              <w:spacing w:after="0" w:line="360" w:lineRule="auto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供应商提供成品合规软件，完成医院本地服务器安装、调试、授权部署，实现软硬件深度适配、系统整体稳定运行；全程提供软件版本升级、故障排查、专项技术支持等配套服务。</w:t>
            </w:r>
          </w:p>
        </w:tc>
      </w:tr>
      <w:tr w14:paraId="51EE5E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066" w:type="pct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095CFFD">
            <w:pPr>
              <w:spacing w:after="0" w:line="360" w:lineRule="auto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078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E58FCF7">
            <w:pPr>
              <w:spacing w:after="0" w:line="360" w:lineRule="auto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预计成效与数据协同</w:t>
            </w:r>
          </w:p>
        </w:tc>
        <w:tc>
          <w:tcPr>
            <w:tcW w:w="2856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6ED8AB0">
            <w:pPr>
              <w:spacing w:after="0" w:line="360" w:lineRule="auto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1. 服务成效：可实现每日12人次、月均 312 人次康复训练服务，显著提升患者康复效果与科室诊疗服务能力，助力打造区域标杆慢性疼痛康复中心。</w:t>
            </w:r>
            <w:r>
              <w:rPr>
                <w:rFonts w:ascii="宋体" w:hAnsi="宋体" w:eastAsia="宋体"/>
                <w:sz w:val="24"/>
              </w:rPr>
              <w:br w:type="textWrapping"/>
            </w:r>
            <w:r>
              <w:rPr>
                <w:rFonts w:ascii="宋体" w:hAnsi="宋体" w:eastAsia="宋体"/>
                <w:sz w:val="24"/>
              </w:rPr>
              <w:t>2. 数据协同：支持与医院患者信息管理系统单向读取患者基础信息，系统内部各终端、硬件设备实现数据互通协同，无对外业务及数据共享。</w:t>
            </w:r>
          </w:p>
        </w:tc>
      </w:tr>
      <w:tr w14:paraId="69DCFE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066" w:type="pct"/>
            <w:vMerge w:val="restar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EA93EF7">
            <w:pPr>
              <w:spacing w:after="0" w:line="360" w:lineRule="auto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运行维护服务</w:t>
            </w:r>
          </w:p>
        </w:tc>
        <w:tc>
          <w:tcPr>
            <w:tcW w:w="1078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DE16632">
            <w:pPr>
              <w:spacing w:after="0" w:line="360" w:lineRule="auto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基础设施运行维护服务</w:t>
            </w:r>
          </w:p>
        </w:tc>
        <w:tc>
          <w:tcPr>
            <w:tcW w:w="2856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B1A452F">
            <w:pPr>
              <w:spacing w:after="0" w:line="360" w:lineRule="auto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项目无需自建机房及专用基础设施；所有临床诊疗硬件终端设备，质保期内由服务提供方全权负责维修、更换及技术支持；医院按照常规医疗设备管理制度开展日常使用、巡检及管理工作。</w:t>
            </w:r>
          </w:p>
        </w:tc>
      </w:tr>
      <w:tr w14:paraId="494C0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066" w:type="pct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7A3C8D0">
            <w:pPr>
              <w:spacing w:after="0" w:line="360" w:lineRule="auto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078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15B80E5">
            <w:pPr>
              <w:spacing w:after="0" w:line="360" w:lineRule="auto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软件系统运行维护服务</w:t>
            </w:r>
          </w:p>
        </w:tc>
        <w:tc>
          <w:tcPr>
            <w:tcW w:w="2856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E6CA6E9">
            <w:pPr>
              <w:spacing w:after="0" w:line="360" w:lineRule="auto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服务提供方提供全周期软件运维服务，包含系统故障远程诊断与修复、软件版本迭代升级、数据备份与恢复、安全漏洞修补，提供 7×24 小时全天候技术支持，保障系统符合医疗器械运行标准、稳定不间断运行。</w:t>
            </w:r>
          </w:p>
        </w:tc>
      </w:tr>
      <w:tr w14:paraId="3918F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066" w:type="pct"/>
            <w:vMerge w:val="restar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61D979A">
            <w:pPr>
              <w:spacing w:after="0" w:line="360" w:lineRule="auto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其他服务</w:t>
            </w:r>
          </w:p>
        </w:tc>
        <w:tc>
          <w:tcPr>
            <w:tcW w:w="1078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84DE2EF">
            <w:pPr>
              <w:spacing w:after="0" w:line="360" w:lineRule="auto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业务管理运营服务</w:t>
            </w:r>
          </w:p>
        </w:tc>
        <w:tc>
          <w:tcPr>
            <w:tcW w:w="2856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F07CB8F">
            <w:pPr>
              <w:spacing w:after="0" w:line="360" w:lineRule="auto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提供系统用户权限配置、账号管理、业务流程优化、康复训练方案库定期更新维护服务；全程对接医护人员，提供操作指导、日常问题答疑与应急响应服务，保障系统规范落地运营。</w:t>
            </w:r>
          </w:p>
        </w:tc>
      </w:tr>
      <w:tr w14:paraId="53294A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066" w:type="pct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283B592">
            <w:pPr>
              <w:spacing w:after="0" w:line="360" w:lineRule="auto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078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1D9A96F">
            <w:pPr>
              <w:spacing w:after="0" w:line="360" w:lineRule="auto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数据处理运营服务</w:t>
            </w:r>
          </w:p>
        </w:tc>
        <w:tc>
          <w:tcPr>
            <w:tcW w:w="2856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645E9DB">
            <w:pPr>
              <w:spacing w:after="0" w:line="360" w:lineRule="auto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1. 数据采集清洗：规范化采集、清洗脑电数据、训练过程数据、患者评估数据，保障数据精准合规；</w:t>
            </w:r>
            <w:r>
              <w:rPr>
                <w:rFonts w:ascii="宋体" w:hAnsi="宋体" w:eastAsia="宋体"/>
                <w:sz w:val="24"/>
              </w:rPr>
              <w:br w:type="textWrapping"/>
            </w:r>
            <w:r>
              <w:rPr>
                <w:rFonts w:ascii="宋体" w:hAnsi="宋体" w:eastAsia="宋体"/>
                <w:sz w:val="24"/>
              </w:rPr>
              <w:t>2. 数据备份迁移：协助院方完成常态化数据备份，按需提供数据迁移服务；</w:t>
            </w:r>
            <w:r>
              <w:rPr>
                <w:rFonts w:ascii="宋体" w:hAnsi="宋体" w:eastAsia="宋体"/>
                <w:sz w:val="24"/>
              </w:rPr>
              <w:br w:type="textWrapping"/>
            </w:r>
            <w:r>
              <w:rPr>
                <w:rFonts w:ascii="宋体" w:hAnsi="宋体" w:eastAsia="宋体"/>
                <w:sz w:val="24"/>
              </w:rPr>
              <w:t>3. 深度数据分析：开展不同疼痛类型、训练方案的疗效对比、患者个体化疗效趋势分析，输出可用于科研的结构化数据集及专项数据分析报告，支撑临床决策与学科科研。</w:t>
            </w:r>
          </w:p>
        </w:tc>
      </w:tr>
      <w:tr w14:paraId="17D137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066" w:type="pct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9A5C8F1">
            <w:pPr>
              <w:spacing w:after="0" w:line="360" w:lineRule="auto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078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81A9ECA">
            <w:pPr>
              <w:spacing w:after="0" w:line="360" w:lineRule="auto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设计咨询服务</w:t>
            </w:r>
          </w:p>
        </w:tc>
        <w:tc>
          <w:tcPr>
            <w:tcW w:w="2856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04A920A">
            <w:pPr>
              <w:spacing w:after="0" w:line="360" w:lineRule="auto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项目实施前结合医院疼痛科实际业务流程，定制完成系统部署方案、康复训练流程优化、数据采集规范等专项设计工作，出具完整、详实、可落地的设计方案文档，明确项目实施目标、技术标准与运维管理规范。</w:t>
            </w:r>
          </w:p>
        </w:tc>
      </w:tr>
    </w:tbl>
    <w:p w14:paraId="55D29BF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584695"/>
    <w:rsid w:val="05141CAB"/>
    <w:rsid w:val="061756C1"/>
    <w:rsid w:val="0E736EC2"/>
    <w:rsid w:val="139C2628"/>
    <w:rsid w:val="161F40C5"/>
    <w:rsid w:val="18CB697B"/>
    <w:rsid w:val="20132EAF"/>
    <w:rsid w:val="23B9039D"/>
    <w:rsid w:val="2B1505EF"/>
    <w:rsid w:val="2D743DE9"/>
    <w:rsid w:val="3F7140EC"/>
    <w:rsid w:val="46F85BFA"/>
    <w:rsid w:val="470C368A"/>
    <w:rsid w:val="4D547BFE"/>
    <w:rsid w:val="509E411E"/>
    <w:rsid w:val="56584695"/>
    <w:rsid w:val="569361A5"/>
    <w:rsid w:val="5E343F6B"/>
    <w:rsid w:val="63FF2967"/>
    <w:rsid w:val="6D0349F3"/>
    <w:rsid w:val="71152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1165</Words>
  <Characters>1180</Characters>
  <Lines>0</Lines>
  <Paragraphs>0</Paragraphs>
  <TotalTime>0</TotalTime>
  <ScaleCrop>false</ScaleCrop>
  <LinksUpToDate>false</LinksUpToDate>
  <CharactersWithSpaces>1189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2026-07-23T01:39:00Z</dcterms:created>
  <dc:creator>曾凡荣</dc:creator>
  <cp:lastModifiedBy>何忠慧</cp:lastModifiedBy>
  <dcterms:modified xsi:type="dcterms:W3CDTF">2026-07-23T02:40:12Z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0F24B65216EC4C72ACA7FECB434A2AF6_13</vt:lpwstr>
  </property>
  <property fmtid="{D5CDD505-2E9C-101B-9397-08002B2CF9AE}" pid="4" name="KSOTemplateDocerSaveRecord">
    <vt:lpwstr>eyJoZGlkIjoiYmUzMjY3MmJmOGM2NjY0OWE3Y2Q1ZDU0MWE4MjgyMzIiLCJ1c2VySWQiOiIxNTU4MTIxMjA3In0=</vt:lpwstr>
  </property>
</Properties>
</file>