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E936CF">
      <w:pPr>
        <w:tabs>
          <w:tab w:val="left" w:pos="5504"/>
        </w:tabs>
        <w:bidi w:val="0"/>
        <w:jc w:val="left"/>
        <w:rPr>
          <w:rFonts w:hint="eastAsia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 w14:paraId="7DFDCDE7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left="0" w:leftChars="0" w:right="0" w:firstLine="562" w:firstLineChars="200"/>
        <w:jc w:val="left"/>
        <w:textAlignment w:val="auto"/>
        <w:rPr>
          <w:rFonts w:hint="eastAsia" w:ascii="仿宋" w:hAnsi="仿宋" w:eastAsia="仿宋" w:cs="仿宋"/>
          <w:b/>
          <w:bCs/>
          <w:i/>
          <w:iCs/>
          <w:color w:val="000000" w:themeColor="text1"/>
          <w:kern w:val="2"/>
          <w:sz w:val="28"/>
          <w:szCs w:val="28"/>
          <w:lang w:val="en-US" w:eastAsia="zh-CN" w:bidi="en-U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i/>
          <w:iCs/>
          <w:color w:val="000000" w:themeColor="text1"/>
          <w:kern w:val="2"/>
          <w:sz w:val="28"/>
          <w:szCs w:val="28"/>
          <w:lang w:val="en-US" w:eastAsia="zh-CN" w:bidi="en-US"/>
          <w14:textFill>
            <w14:solidFill>
              <w14:schemeClr w14:val="tx1"/>
            </w14:solidFill>
          </w14:textFill>
        </w:rPr>
        <w:t>采购需求</w:t>
      </w:r>
    </w:p>
    <w:p w14:paraId="378304F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right="0" w:firstLine="420" w:firstLineChars="0"/>
        <w:jc w:val="left"/>
        <w:textAlignment w:val="auto"/>
        <w:rPr>
          <w:rFonts w:hint="eastAsia" w:ascii="仿宋" w:hAnsi="仿宋" w:eastAsia="仿宋" w:cs="仿宋"/>
          <w:i/>
          <w:iCs/>
          <w:color w:val="000000" w:themeColor="text1"/>
          <w:kern w:val="2"/>
          <w:sz w:val="28"/>
          <w:szCs w:val="28"/>
          <w:lang w:val="en-US" w:eastAsia="zh-CN" w:bidi="en-U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olor w:val="000000" w:themeColor="text1"/>
          <w:kern w:val="2"/>
          <w:sz w:val="28"/>
          <w:szCs w:val="28"/>
          <w:lang w:val="en-US" w:eastAsia="zh-CN" w:bidi="en-US"/>
          <w14:textFill>
            <w14:solidFill>
              <w14:schemeClr w14:val="tx1"/>
            </w14:solidFill>
          </w14:textFill>
        </w:rPr>
        <w:t>（1）业务需求分析</w:t>
      </w:r>
    </w:p>
    <w:p w14:paraId="7BF4F2F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right="0" w:firstLine="48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olor w:val="000000" w:themeColor="text1"/>
          <w:kern w:val="2"/>
          <w:sz w:val="24"/>
          <w:szCs w:val="24"/>
          <w:lang w:val="en-US" w:eastAsia="zh-CN" w:bidi="en-US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olor w:val="000000" w:themeColor="text1"/>
          <w:kern w:val="2"/>
          <w:sz w:val="24"/>
          <w:szCs w:val="24"/>
          <w:lang w:val="en-US" w:eastAsia="zh-CN" w:bidi="en-US"/>
          <w14:textFill>
            <w14:solidFill>
              <w14:schemeClr w14:val="tx1"/>
            </w14:solidFill>
          </w14:textFill>
        </w:rPr>
        <w:t>围绕我院临床护理业务和医院等级评审需要，本项目运维服务需覆盖全院所有临床护理单元。用户角色包括：护理管理人员（护理部、护士长），用于质控管理、排班管理、敏感指标监测等；临床护士，用于PDA端医嘱执行、护理文书录入、患者信息查询等；系统管理员，用于系统配置与日常管理。</w:t>
      </w:r>
    </w:p>
    <w:p w14:paraId="524443A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right="0" w:firstLine="48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olor w:val="000000" w:themeColor="text1"/>
          <w:kern w:val="2"/>
          <w:sz w:val="24"/>
          <w:szCs w:val="24"/>
          <w:lang w:val="en-US" w:eastAsia="zh-CN" w:bidi="en-US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olor w:val="000000" w:themeColor="text1"/>
          <w:kern w:val="2"/>
          <w:sz w:val="24"/>
          <w:szCs w:val="24"/>
          <w:lang w:val="en-US" w:eastAsia="zh-CN" w:bidi="en-US"/>
          <w14:textFill>
            <w14:solidFill>
              <w14:schemeClr w14:val="tx1"/>
            </w14:solidFill>
          </w14:textFill>
        </w:rPr>
        <w:t>移动护理系统需保障以下核心业务的持续正常运行：患者全过程管理（患者信息查询、病区一览、腕带/床头卡打印、患者流转核对与交接、护理等级巡视等）；医嘱闭环管理（输液闭环含静配中心配药模式、针剂闭环、口服药闭环、检验标本闭环、输血闭环、皮试闭环等，均含扫描核对、执行记录、结果回写功能）；生命体征管理（体征录入与批量录入、体温单、体征趋势图、异常提醒等）；健康教育（知识库、课程推送、学习记录、效果测评等）；护理文书（入院评估单、一般/危重/特殊护理记录单、出入量单、血糖单等结构化文书）；护理评分（BRADEN、Barthel、疼痛、跌倒/坠床、GLASGOW、APACHEII、血栓风险等十余种评分及护理措施联动）；护理计划与临床决策支持（高热、压疮、跌倒、导管滑脱等智能联动）。</w:t>
      </w:r>
    </w:p>
    <w:p w14:paraId="69F2CD3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right="0" w:firstLine="480" w:firstLineChars="200"/>
        <w:textAlignment w:val="auto"/>
        <w:rPr>
          <w:rFonts w:hint="eastAsia" w:cs="仿宋"/>
          <w:i/>
          <w:iCs/>
          <w:color w:val="0000FF"/>
          <w:kern w:val="2"/>
          <w:sz w:val="24"/>
          <w:szCs w:val="24"/>
          <w:lang w:val="en-US" w:eastAsia="zh-CN" w:bidi="en-US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olor w:val="000000" w:themeColor="text1"/>
          <w:kern w:val="2"/>
          <w:sz w:val="24"/>
          <w:szCs w:val="24"/>
          <w:lang w:val="en-US" w:eastAsia="zh-CN" w:bidi="en-US"/>
          <w14:textFill>
            <w14:solidFill>
              <w14:schemeClr w14:val="tx1"/>
            </w14:solidFill>
          </w14:textFill>
        </w:rPr>
        <w:t>护理管理系统需保障以下核心业务的持续正常运行：护理人员档案管理（档案维护、分层晋级考核、人员变动、统计分析等）；护理排班管理（排班设置与填报、借调/轮转、排班审核、全院排班一览、夜班费统计、床护比/护患比分析等）；请假管理（在线申请、科室审批、护理部审批、自动生成排班、请假统计等）；护士长日常工作（工作手册、会议纪要、计划总结、业务查房、质量改进项目等）；护理质量检查（一/二/三级质控、质量模板维护、文书自动评分、质量问题汇总与跟踪、质量报告与趋势分析等）；不良事件管理（上报、管理、跟踪、原因分析、深度统计、风险预警等）；护理敏感指标管理（对接HIS/电子病历自动抓取数据）；系统设置与整合（人事、OA、学分平台、质控平台对接）。</w:t>
      </w:r>
    </w:p>
    <w:p w14:paraId="23F47A5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/>
        <w:textAlignment w:val="auto"/>
        <w:rPr>
          <w:rFonts w:hint="eastAsia" w:cs="仿宋"/>
          <w:i w:val="0"/>
          <w:iCs w:val="0"/>
          <w:color w:val="0000FF"/>
          <w:kern w:val="2"/>
          <w:sz w:val="24"/>
          <w:szCs w:val="24"/>
          <w:lang w:val="en-US" w:eastAsia="zh-CN" w:bidi="en-US"/>
        </w:rPr>
      </w:pPr>
    </w:p>
    <w:p w14:paraId="28B8C6F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right="0" w:firstLine="420" w:firstLineChars="0"/>
        <w:jc w:val="left"/>
        <w:textAlignment w:val="auto"/>
        <w:rPr>
          <w:rFonts w:hint="eastAsia" w:ascii="仿宋" w:hAnsi="仿宋" w:eastAsia="仿宋" w:cs="仿宋"/>
          <w:i w:val="0"/>
          <w:iCs w:val="0"/>
          <w:color w:val="000000" w:themeColor="text1"/>
          <w:kern w:val="2"/>
          <w:sz w:val="28"/>
          <w:szCs w:val="28"/>
          <w:lang w:val="en-US" w:eastAsia="zh-CN" w:bidi="en-U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olor w:val="000000" w:themeColor="text1"/>
          <w:kern w:val="2"/>
          <w:sz w:val="28"/>
          <w:szCs w:val="28"/>
          <w:lang w:val="en-US" w:eastAsia="zh-CN" w:bidi="en-US"/>
          <w14:textFill>
            <w14:solidFill>
              <w14:schemeClr w14:val="tx1"/>
            </w14:solidFill>
          </w14:textFill>
        </w:rPr>
        <w:t>（2）功能性需求分析</w:t>
      </w:r>
    </w:p>
    <w:p w14:paraId="165B05B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right="0" w:firstLine="48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olor w:val="000000" w:themeColor="text1"/>
          <w:kern w:val="2"/>
          <w:sz w:val="24"/>
          <w:szCs w:val="24"/>
          <w:lang w:val="en-US" w:eastAsia="zh-CN" w:bidi="en-US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olor w:val="000000" w:themeColor="text1"/>
          <w:kern w:val="2"/>
          <w:sz w:val="24"/>
          <w:szCs w:val="24"/>
          <w:lang w:val="en-US" w:eastAsia="zh-CN" w:bidi="en-US"/>
          <w14:textFill>
            <w14:solidFill>
              <w14:schemeClr w14:val="tx1"/>
            </w14:solidFill>
          </w14:textFill>
        </w:rPr>
        <w:t>运维服务需保障上述全部系统功能的持续正常运行。移动护理系统需重点保障患者腕带/床头卡打印、八大类医嘱闭环扫描执行（含PDA端条码扫描识别、患者腕带核对、用药时间与用药人记录、执行结果回写第三方系统）、生命体征床旁采集与体温单生成、结构化护理文书录入与打印、护理评分自动计算与风险提示、健康教育课程推送等核心功能。护理管理系统需重点保障排班填报与审核流程、请假审批流程、三级质控检查与评分、不良事件上报与PDCA跟踪、敏感指标自动抓取统计等核心功能。</w:t>
      </w:r>
    </w:p>
    <w:p w14:paraId="18B0E87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right="0" w:firstLine="48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olor w:val="000000" w:themeColor="text1"/>
          <w:kern w:val="2"/>
          <w:sz w:val="24"/>
          <w:szCs w:val="24"/>
          <w:lang w:val="en-US" w:eastAsia="zh-CN" w:bidi="en-US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olor w:val="000000" w:themeColor="text1"/>
          <w:kern w:val="2"/>
          <w:sz w:val="24"/>
          <w:szCs w:val="24"/>
          <w:lang w:val="en-US" w:eastAsia="zh-CN" w:bidi="en-US"/>
          <w14:textFill>
            <w14:solidFill>
              <w14:schemeClr w14:val="tx1"/>
            </w14:solidFill>
          </w14:textFill>
        </w:rPr>
        <w:t>系统需与HIS、电子病历、人事管理系统、OA系统、各级学分管理平台、各级质控平台等第三方系统保持接口稳定运行。运维服务需根据医院业务发展和评审要求，完成系统功能配置完善、版本升级及必要的适应性改造（合同约定维保期内配合医院信息化互联互通成熟度评价、电子病历应用成熟度评价等测评工作中涉及护理的相关需求，不再收取任何费用）。</w:t>
      </w:r>
    </w:p>
    <w:p w14:paraId="2B3C4CC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right="0" w:firstLine="48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olor w:val="000000" w:themeColor="text1"/>
          <w:kern w:val="2"/>
          <w:sz w:val="24"/>
          <w:szCs w:val="24"/>
          <w:lang w:val="en-US" w:eastAsia="zh-CN" w:bidi="en-US"/>
          <w14:textFill>
            <w14:solidFill>
              <w14:schemeClr w14:val="tx1"/>
            </w14:solidFill>
          </w14:textFill>
        </w:rPr>
      </w:pPr>
    </w:p>
    <w:p w14:paraId="7F406FC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right="0" w:firstLine="42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olor w:val="000000" w:themeColor="text1"/>
          <w:kern w:val="2"/>
          <w:sz w:val="28"/>
          <w:szCs w:val="28"/>
          <w:lang w:val="en-US" w:eastAsia="zh-CN" w:bidi="en-U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 w:themeColor="text1"/>
          <w:kern w:val="2"/>
          <w:sz w:val="28"/>
          <w:szCs w:val="28"/>
          <w:lang w:val="en-US" w:eastAsia="zh-CN" w:bidi="en-US"/>
          <w14:textFill>
            <w14:solidFill>
              <w14:schemeClr w14:val="tx1"/>
            </w14:solidFill>
          </w14:textFill>
        </w:rPr>
        <w:t>（3）非功能性需求分析</w:t>
      </w:r>
    </w:p>
    <w:p w14:paraId="2180658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right="0" w:firstLine="480" w:firstLineChars="200"/>
        <w:textAlignment w:val="auto"/>
        <w:rPr>
          <w:rFonts w:hint="eastAsia" w:cs="仿宋"/>
          <w:i/>
          <w:iCs/>
          <w:color w:val="0000FF"/>
          <w:kern w:val="2"/>
          <w:sz w:val="24"/>
          <w:szCs w:val="24"/>
          <w:lang w:val="en-US" w:eastAsia="zh-CN" w:bidi="en-US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olor w:val="000000" w:themeColor="text1"/>
          <w:kern w:val="2"/>
          <w:sz w:val="24"/>
          <w:szCs w:val="24"/>
          <w:lang w:val="en-US" w:eastAsia="zh-CN" w:bidi="en-US"/>
          <w14:textFill>
            <w14:solidFill>
              <w14:schemeClr w14:val="tx1"/>
            </w14:solidFill>
          </w14:textFill>
        </w:rPr>
        <w:t>性能方面，系统需支持全院约2500名护士同时在线操作，PDA端医嘱执行操作响应时间不超过3秒，PC端数据查询响应时间不超过5秒。可用性方面，系统全年可用率不低于99.5%，计划外停机时间全年不超过24小时。可维护性方面，运维服务需提供7×24小时技术支持，建立分级故障响应机制：参照合同约定标准，运维人员应在故障通知后0.5小时内响应，2小时内到达现场维修，系统停机故障须在报修3小时内恢复系统正常运行。系统需支持模块化扩展，满足未来功能升级需要。</w:t>
      </w:r>
    </w:p>
    <w:p w14:paraId="6B9DD96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right="0" w:firstLine="420" w:firstLineChars="0"/>
        <w:jc w:val="left"/>
        <w:textAlignment w:val="auto"/>
        <w:rPr>
          <w:rFonts w:hint="eastAsia" w:ascii="仿宋" w:hAnsi="仿宋" w:eastAsia="仿宋" w:cs="仿宋"/>
          <w:b/>
          <w:bCs/>
          <w:i/>
          <w:iCs/>
          <w:color w:val="000000" w:themeColor="text1"/>
          <w:kern w:val="2"/>
          <w:sz w:val="28"/>
          <w:szCs w:val="28"/>
          <w:lang w:val="en-US" w:eastAsia="zh-CN" w:bidi="en-US"/>
          <w14:textFill>
            <w14:solidFill>
              <w14:schemeClr w14:val="tx1"/>
            </w14:solidFill>
          </w14:textFill>
        </w:rPr>
      </w:pPr>
    </w:p>
    <w:p w14:paraId="04F700B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right="0" w:firstLine="42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olor w:val="000000" w:themeColor="text1"/>
          <w:kern w:val="2"/>
          <w:sz w:val="28"/>
          <w:szCs w:val="28"/>
          <w:lang w:val="en-US" w:eastAsia="zh-CN" w:bidi="en-U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 w:themeColor="text1"/>
          <w:kern w:val="2"/>
          <w:sz w:val="28"/>
          <w:szCs w:val="28"/>
          <w:lang w:val="en-US" w:eastAsia="zh-CN" w:bidi="en-US"/>
          <w14:textFill>
            <w14:solidFill>
              <w14:schemeClr w14:val="tx1"/>
            </w14:solidFill>
          </w14:textFill>
        </w:rPr>
        <w:t>（4）安全需求分析</w:t>
      </w:r>
    </w:p>
    <w:p w14:paraId="5FF7F40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right="0" w:firstLine="480" w:firstLineChars="200"/>
        <w:textAlignment w:val="auto"/>
        <w:rPr>
          <w:rFonts w:hint="eastAsia" w:cs="仿宋"/>
          <w:i w:val="0"/>
          <w:iCs w:val="0"/>
          <w:color w:val="0000FF"/>
          <w:kern w:val="2"/>
          <w:sz w:val="24"/>
          <w:szCs w:val="24"/>
          <w:lang w:val="en-US" w:eastAsia="zh-CN" w:bidi="en-US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olor w:val="000000" w:themeColor="text1"/>
          <w:kern w:val="2"/>
          <w:sz w:val="24"/>
          <w:szCs w:val="24"/>
          <w:lang w:val="en-US" w:eastAsia="zh-CN" w:bidi="en-US"/>
          <w14:textFill>
            <w14:solidFill>
              <w14:schemeClr w14:val="tx1"/>
            </w14:solidFill>
          </w14:textFill>
        </w:rPr>
        <w:t>运维服务需确保系统满足网络安全等级保护三级要求。数据安全方面，需延续合同约定的数据保密义务，运维人员不得泄露任何患者诊疗数据和护理记录信息；需建立数据备份机制（每日全量备份、实时增量备份），支持异地备份与灾难恢复；全流程操作留痕与审计；数据加密传输与存储。系统安全方面，需建立分级用户权限管理体系，定期开展安全漏洞扫描与风险评估；运维人员须遵守医院信息安全管理制度。应急响应方面，需制定系统应急预案，在重大故障发生时能快速恢复业务运行；参照合同约定，3天内不能修复的故障，需免费提供备用设备供临床使用。</w:t>
      </w:r>
    </w:p>
    <w:p w14:paraId="5216F28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56E84F">
    <w:pPr>
      <w:pStyle w:val="4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69FF6C"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BFF1B01"/>
    <w:multiLevelType w:val="singleLevel"/>
    <w:tmpl w:val="CBFF1B01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jYjBiODNmOWQzMDA0ZmY3NDg3MDgzOTAyNWI2ZDAifQ=="/>
  </w:docVars>
  <w:rsids>
    <w:rsidRoot w:val="7BFD1170"/>
    <w:rsid w:val="078A2AB7"/>
    <w:rsid w:val="11CF588F"/>
    <w:rsid w:val="7BFD1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qFormat/>
    <w:uiPriority w:val="0"/>
  </w:style>
  <w:style w:type="paragraph" w:styleId="7">
    <w:name w:val="toc 2"/>
    <w:basedOn w:val="1"/>
    <w:next w:val="1"/>
    <w:qFormat/>
    <w:uiPriority w:val="0"/>
    <w:pPr>
      <w:ind w:left="420" w:leftChars="200"/>
    </w:pPr>
  </w:style>
  <w:style w:type="paragraph" w:styleId="8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libri Light" w:hAnsi="Calibri Light" w:eastAsia="宋体" w:cs="Times New Roman"/>
      <w:b/>
      <w:bCs/>
      <w:sz w:val="32"/>
      <w:szCs w:val="32"/>
    </w:rPr>
  </w:style>
  <w:style w:type="paragraph" w:customStyle="1" w:styleId="11">
    <w:name w:val="可研标题"/>
    <w:basedOn w:val="8"/>
    <w:qFormat/>
    <w:uiPriority w:val="0"/>
    <w:pPr>
      <w:spacing w:line="360" w:lineRule="auto"/>
    </w:pPr>
    <w:rPr>
      <w:rFonts w:ascii="微软雅黑" w:hAnsi="微软雅黑" w:eastAsia="微软雅黑"/>
      <w:b w:val="0"/>
      <w:sz w:val="5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1973</Words>
  <Characters>2042</Characters>
  <Lines>0</Lines>
  <Paragraphs>0</Paragraphs>
  <TotalTime>11</TotalTime>
  <ScaleCrop>false</ScaleCrop>
  <LinksUpToDate>false</LinksUpToDate>
  <CharactersWithSpaces>2093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2026-07-31T06:35:00Z</dcterms:created>
  <dc:creator>YJY</dc:creator>
  <cp:lastModifiedBy>何忠慧</cp:lastModifiedBy>
  <dcterms:modified xsi:type="dcterms:W3CDTF">2026-09-11T02:13:21Z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C767E827B6914D30B459DF9AFBBC5D5C_13</vt:lpwstr>
  </property>
  <property fmtid="{D5CDD505-2E9C-101B-9397-08002B2CF9AE}" pid="4" name="KSOTemplateDocerSaveRecord">
    <vt:lpwstr>eyJoZGlkIjoiOTU1NDkzYTJlNjJiNjBmZjc3MWU4YjMzMjM2OTJmYzgiLCJ1c2VySWQiOiIzNTU2MjUyNTYifQ==</vt:lpwstr>
  </property>
</Properties>
</file>