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2A78D1">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eastAsia" w:ascii="仿宋" w:hAnsi="仿宋" w:eastAsia="仿宋" w:cs="仿宋"/>
          <w:b/>
          <w:bCs/>
          <w:sz w:val="30"/>
          <w:szCs w:val="30"/>
        </w:rPr>
      </w:pPr>
      <w:r>
        <w:rPr>
          <w:rFonts w:hint="eastAsia" w:ascii="仿宋" w:hAnsi="仿宋" w:eastAsia="仿宋" w:cs="仿宋"/>
          <w:b/>
          <w:bCs/>
          <w:sz w:val="30"/>
          <w:szCs w:val="30"/>
        </w:rPr>
        <w:t>云南省第一人民医院营养诊疗软件系统服务2027-2029年项目</w:t>
      </w:r>
    </w:p>
    <w:p w14:paraId="5B8FED4C">
      <w:pPr>
        <w:keepNext w:val="0"/>
        <w:keepLines w:val="0"/>
        <w:pageBreakBefore w:val="0"/>
        <w:widowControl w:val="0"/>
        <w:kinsoku/>
        <w:wordWrap/>
        <w:overflowPunct/>
        <w:topLinePunct w:val="0"/>
        <w:autoSpaceDE/>
        <w:autoSpaceDN/>
        <w:bidi w:val="0"/>
        <w:adjustRightInd/>
        <w:snapToGrid w:val="0"/>
        <w:spacing w:line="360" w:lineRule="auto"/>
        <w:ind w:firstLine="602" w:firstLineChars="200"/>
        <w:jc w:val="center"/>
        <w:textAlignment w:val="auto"/>
        <w:rPr>
          <w:rFonts w:hint="eastAsia" w:ascii="仿宋" w:hAnsi="仿宋" w:eastAsia="仿宋" w:cs="仿宋"/>
        </w:rPr>
      </w:pPr>
      <w:r>
        <w:rPr>
          <w:rFonts w:hint="eastAsia" w:ascii="仿宋" w:hAnsi="仿宋" w:eastAsia="仿宋" w:cs="仿宋"/>
          <w:b/>
          <w:bCs/>
          <w:sz w:val="30"/>
          <w:szCs w:val="30"/>
        </w:rPr>
        <w:t>平台采购需求</w:t>
      </w:r>
    </w:p>
    <w:p w14:paraId="2B41F4CC">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p>
    <w:p w14:paraId="18132083">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sz w:val="28"/>
          <w:szCs w:val="28"/>
        </w:rPr>
      </w:pPr>
      <w:r>
        <w:rPr>
          <w:rFonts w:hint="eastAsia" w:ascii="仿宋" w:hAnsi="仿宋" w:eastAsia="仿宋" w:cs="仿宋"/>
          <w:b/>
          <w:bCs/>
          <w:sz w:val="28"/>
          <w:szCs w:val="28"/>
        </w:rPr>
        <w:t>（一）采购标的需实现的功能或者目标，以及为落实政府采购政策需满足的要求</w:t>
      </w:r>
    </w:p>
    <w:p w14:paraId="22AF5113">
      <w:pPr>
        <w:keepNext w:val="0"/>
        <w:keepLines w:val="0"/>
        <w:pageBreakBefore w:val="0"/>
        <w:widowControl w:val="0"/>
        <w:kinsoku/>
        <w:wordWrap/>
        <w:overflowPunct/>
        <w:topLinePunct w:val="0"/>
        <w:autoSpaceDE/>
        <w:autoSpaceDN/>
        <w:bidi w:val="0"/>
        <w:adjustRightInd/>
        <w:snapToGrid w:val="0"/>
        <w:spacing w:line="360" w:lineRule="auto"/>
        <w:ind w:firstLine="562" w:firstLineChars="200"/>
        <w:textAlignment w:val="auto"/>
        <w:rPr>
          <w:rFonts w:hint="eastAsia" w:ascii="仿宋" w:hAnsi="仿宋" w:eastAsia="仿宋" w:cs="仿宋"/>
          <w:b/>
          <w:bCs/>
          <w:sz w:val="28"/>
          <w:szCs w:val="28"/>
        </w:rPr>
      </w:pPr>
      <w:r>
        <w:rPr>
          <w:rFonts w:hint="eastAsia" w:ascii="仿宋" w:hAnsi="仿宋" w:eastAsia="仿宋" w:cs="仿宋"/>
          <w:b/>
          <w:bCs/>
          <w:sz w:val="28"/>
          <w:szCs w:val="28"/>
        </w:rPr>
        <w:t xml:space="preserve"> 1. 总体目标</w:t>
      </w:r>
    </w:p>
    <w:p w14:paraId="34F0B961">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2027-2029年三年专业化运维服务，保障营养诊疗软件系统安全、稳定、高效、连续运行。针对软件系统（住院营养管理系统、门诊营养诊疗系统、营养库存与配制管理系统、营养数据分析与决策支持系统、系统集成接口等模块）的日常维护、故障修复及预防性保养，满足临床营养筛查、评估、诊断、干预、监测、管理全业务需求，保障数据安全、业务连续、政策合规适配，支撑医院临床营养学科高质量发展。</w:t>
      </w:r>
    </w:p>
    <w:p w14:paraId="60DE7BC8">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本项目总体目标为：通过购买营养软件系统服务，建设覆盖门诊与住院营养诊疗全流程的信息化管理平台，实现以下具体目标：</w:t>
      </w:r>
    </w:p>
    <w:p w14:paraId="4A11BBB6">
      <w:pPr>
        <w:keepNext w:val="0"/>
        <w:keepLines w:val="0"/>
        <w:pageBreakBefore w:val="0"/>
        <w:widowControl w:val="0"/>
        <w:kinsoku/>
        <w:wordWrap/>
        <w:overflowPunct/>
        <w:topLinePunct w:val="0"/>
        <w:autoSpaceDE/>
        <w:autoSpaceDN/>
        <w:bidi w:val="0"/>
        <w:adjustRightInd/>
        <w:snapToGrid w:val="0"/>
        <w:spacing w:line="360" w:lineRule="auto"/>
        <w:ind w:firstLine="562" w:firstLineChars="200"/>
        <w:textAlignment w:val="auto"/>
        <w:rPr>
          <w:rFonts w:hint="eastAsia" w:ascii="仿宋" w:hAnsi="仿宋" w:eastAsia="仿宋" w:cs="仿宋"/>
          <w:sz w:val="28"/>
          <w:szCs w:val="28"/>
        </w:rPr>
      </w:pPr>
      <w:r>
        <w:rPr>
          <w:rFonts w:hint="eastAsia" w:ascii="仿宋" w:hAnsi="仿宋" w:eastAsia="仿宋" w:cs="仿宋"/>
          <w:b/>
          <w:bCs/>
          <w:sz w:val="28"/>
          <w:szCs w:val="28"/>
        </w:rPr>
        <w:t>1）规范营养诊疗流程：</w:t>
      </w:r>
      <w:r>
        <w:rPr>
          <w:rFonts w:hint="eastAsia" w:ascii="仿宋" w:hAnsi="仿宋" w:eastAsia="仿宋" w:cs="仿宋"/>
          <w:sz w:val="28"/>
          <w:szCs w:val="28"/>
        </w:rPr>
        <w:t>构建“筛-评-诊-治-控-管”一体化的临床营养管理闭环，实现从营养风险筛查到营养干预效果评价的全流程规范化管理。</w:t>
      </w:r>
    </w:p>
    <w:p w14:paraId="12C793E4">
      <w:pPr>
        <w:keepNext w:val="0"/>
        <w:keepLines w:val="0"/>
        <w:pageBreakBefore w:val="0"/>
        <w:widowControl w:val="0"/>
        <w:kinsoku/>
        <w:wordWrap/>
        <w:overflowPunct/>
        <w:topLinePunct w:val="0"/>
        <w:autoSpaceDE/>
        <w:autoSpaceDN/>
        <w:bidi w:val="0"/>
        <w:adjustRightInd/>
        <w:snapToGrid w:val="0"/>
        <w:spacing w:line="360" w:lineRule="auto"/>
        <w:ind w:firstLine="562" w:firstLineChars="200"/>
        <w:textAlignment w:val="auto"/>
        <w:rPr>
          <w:rFonts w:hint="eastAsia" w:ascii="仿宋" w:hAnsi="仿宋" w:eastAsia="仿宋" w:cs="仿宋"/>
          <w:sz w:val="28"/>
          <w:szCs w:val="28"/>
        </w:rPr>
      </w:pPr>
      <w:r>
        <w:rPr>
          <w:rFonts w:hint="eastAsia" w:ascii="仿宋" w:hAnsi="仿宋" w:eastAsia="仿宋" w:cs="仿宋"/>
          <w:b/>
          <w:bCs/>
          <w:sz w:val="28"/>
          <w:szCs w:val="28"/>
        </w:rPr>
        <w:t>2）提升工作效率：</w:t>
      </w:r>
      <w:r>
        <w:rPr>
          <w:rFonts w:hint="eastAsia" w:ascii="仿宋" w:hAnsi="仿宋" w:eastAsia="仿宋" w:cs="仿宋"/>
          <w:sz w:val="28"/>
          <w:szCs w:val="28"/>
        </w:rPr>
        <w:t>将传统人工营养评估计算、手工记录等工作方式转变为信息化、自动化处理，显著减轻临床营养师工作负担。</w:t>
      </w:r>
    </w:p>
    <w:p w14:paraId="1A3B4A1A">
      <w:pPr>
        <w:keepNext w:val="0"/>
        <w:keepLines w:val="0"/>
        <w:pageBreakBefore w:val="0"/>
        <w:widowControl w:val="0"/>
        <w:kinsoku/>
        <w:wordWrap/>
        <w:overflowPunct/>
        <w:topLinePunct w:val="0"/>
        <w:autoSpaceDE/>
        <w:autoSpaceDN/>
        <w:bidi w:val="0"/>
        <w:adjustRightInd/>
        <w:snapToGrid w:val="0"/>
        <w:spacing w:line="360" w:lineRule="auto"/>
        <w:ind w:firstLine="562" w:firstLineChars="200"/>
        <w:textAlignment w:val="auto"/>
        <w:rPr>
          <w:rFonts w:hint="eastAsia" w:ascii="仿宋" w:hAnsi="仿宋" w:eastAsia="仿宋" w:cs="仿宋"/>
          <w:sz w:val="28"/>
          <w:szCs w:val="28"/>
        </w:rPr>
      </w:pPr>
      <w:r>
        <w:rPr>
          <w:rFonts w:hint="eastAsia" w:ascii="仿宋" w:hAnsi="仿宋" w:eastAsia="仿宋" w:cs="仿宋"/>
          <w:b/>
          <w:bCs/>
          <w:sz w:val="28"/>
          <w:szCs w:val="28"/>
        </w:rPr>
        <w:t>3）促进数据共享：</w:t>
      </w:r>
      <w:r>
        <w:rPr>
          <w:rFonts w:hint="eastAsia" w:ascii="仿宋" w:hAnsi="仿宋" w:eastAsia="仿宋" w:cs="仿宋"/>
          <w:sz w:val="28"/>
          <w:szCs w:val="28"/>
        </w:rPr>
        <w:t>实现营养系统与HIS、LIS、EMR等医院信息系统的互联互通和数据共享，消除信息孤岛。</w:t>
      </w:r>
    </w:p>
    <w:p w14:paraId="065A13D4">
      <w:pPr>
        <w:keepNext w:val="0"/>
        <w:keepLines w:val="0"/>
        <w:pageBreakBefore w:val="0"/>
        <w:widowControl w:val="0"/>
        <w:kinsoku/>
        <w:wordWrap/>
        <w:overflowPunct/>
        <w:topLinePunct w:val="0"/>
        <w:autoSpaceDE/>
        <w:autoSpaceDN/>
        <w:bidi w:val="0"/>
        <w:adjustRightInd/>
        <w:snapToGrid w:val="0"/>
        <w:spacing w:line="360" w:lineRule="auto"/>
        <w:ind w:firstLine="562" w:firstLineChars="200"/>
        <w:textAlignment w:val="auto"/>
        <w:rPr>
          <w:rFonts w:hint="eastAsia" w:ascii="仿宋" w:hAnsi="仿宋" w:eastAsia="仿宋" w:cs="仿宋"/>
          <w:sz w:val="28"/>
          <w:szCs w:val="28"/>
        </w:rPr>
      </w:pPr>
      <w:r>
        <w:rPr>
          <w:rFonts w:hint="eastAsia" w:ascii="仿宋" w:hAnsi="仿宋" w:eastAsia="仿宋" w:cs="仿宋"/>
          <w:b/>
          <w:bCs/>
          <w:sz w:val="28"/>
          <w:szCs w:val="28"/>
        </w:rPr>
        <w:t>4）保障数据安全：</w:t>
      </w:r>
      <w:r>
        <w:rPr>
          <w:rFonts w:hint="eastAsia" w:ascii="仿宋" w:hAnsi="仿宋" w:eastAsia="仿宋" w:cs="仿宋"/>
          <w:sz w:val="28"/>
          <w:szCs w:val="28"/>
        </w:rPr>
        <w:t>按照国家网络安全等级保护和商用密码应用安全性评估要求，确保患者营养数据的安全合规。</w:t>
      </w:r>
    </w:p>
    <w:p w14:paraId="2843FD40">
      <w:pPr>
        <w:keepNext w:val="0"/>
        <w:keepLines w:val="0"/>
        <w:pageBreakBefore w:val="0"/>
        <w:widowControl w:val="0"/>
        <w:kinsoku/>
        <w:wordWrap/>
        <w:overflowPunct/>
        <w:topLinePunct w:val="0"/>
        <w:autoSpaceDE/>
        <w:autoSpaceDN/>
        <w:bidi w:val="0"/>
        <w:adjustRightInd/>
        <w:snapToGrid w:val="0"/>
        <w:spacing w:line="360" w:lineRule="auto"/>
        <w:ind w:firstLine="562" w:firstLineChars="200"/>
        <w:textAlignment w:val="auto"/>
        <w:rPr>
          <w:rFonts w:hint="eastAsia" w:ascii="仿宋" w:hAnsi="仿宋" w:eastAsia="仿宋" w:cs="仿宋"/>
          <w:sz w:val="28"/>
          <w:szCs w:val="28"/>
        </w:rPr>
      </w:pPr>
      <w:r>
        <w:rPr>
          <w:rFonts w:hint="eastAsia" w:ascii="仿宋" w:hAnsi="仿宋" w:eastAsia="仿宋" w:cs="仿宋"/>
          <w:b/>
          <w:bCs/>
          <w:sz w:val="28"/>
          <w:szCs w:val="28"/>
        </w:rPr>
        <w:t>5）提升服务质量：</w:t>
      </w:r>
      <w:r>
        <w:rPr>
          <w:rFonts w:hint="eastAsia" w:ascii="仿宋" w:hAnsi="仿宋" w:eastAsia="仿宋" w:cs="仿宋"/>
          <w:sz w:val="28"/>
          <w:szCs w:val="28"/>
        </w:rPr>
        <w:t>为患者提供个性化、精准化的营养诊疗服务，改善患者就医体验和临床结局。</w:t>
      </w:r>
    </w:p>
    <w:p w14:paraId="479C31B4">
      <w:pPr>
        <w:keepNext w:val="0"/>
        <w:keepLines w:val="0"/>
        <w:pageBreakBefore w:val="0"/>
        <w:widowControl w:val="0"/>
        <w:kinsoku/>
        <w:wordWrap/>
        <w:overflowPunct/>
        <w:topLinePunct w:val="0"/>
        <w:autoSpaceDE/>
        <w:autoSpaceDN/>
        <w:bidi w:val="0"/>
        <w:adjustRightInd/>
        <w:snapToGrid w:val="0"/>
        <w:spacing w:line="360" w:lineRule="auto"/>
        <w:ind w:firstLine="562" w:firstLineChars="200"/>
        <w:textAlignment w:val="auto"/>
        <w:rPr>
          <w:rFonts w:hint="eastAsia" w:ascii="仿宋" w:hAnsi="仿宋" w:eastAsia="仿宋" w:cs="仿宋"/>
          <w:b/>
          <w:bCs/>
          <w:sz w:val="28"/>
          <w:szCs w:val="28"/>
        </w:rPr>
      </w:pPr>
      <w:r>
        <w:rPr>
          <w:rFonts w:hint="eastAsia" w:ascii="仿宋" w:hAnsi="仿宋" w:eastAsia="仿宋" w:cs="仿宋"/>
          <w:b/>
          <w:bCs/>
          <w:sz w:val="28"/>
          <w:szCs w:val="28"/>
        </w:rPr>
        <w:t xml:space="preserve"> 2. 核心运维服务功能</w:t>
      </w:r>
    </w:p>
    <w:p w14:paraId="49616D5F">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 xml:space="preserve"> （1）基础运维保障</w:t>
      </w:r>
    </w:p>
    <w:p w14:paraId="5C0A940B">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7×24小时故障响应。</w:t>
      </w:r>
    </w:p>
    <w:p w14:paraId="7A67A0D1">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设立7×24小时技术支持热线及远程桌面协助，80%的软件/系统类故障优先通过远程方式解决。远程无法解决的软件故障、需现场操作的系统配置调整、季度定期巡检、重大业务保障时，由公司总部昆明本地服务站派单工程师上门服务。</w:t>
      </w:r>
    </w:p>
    <w:tbl>
      <w:tblPr>
        <w:tblStyle w:val="2"/>
        <w:tblpPr w:leftFromText="180" w:rightFromText="180" w:vertAnchor="text" w:horzAnchor="page" w:tblpX="1056" w:tblpY="553"/>
        <w:tblOverlap w:val="never"/>
        <w:tblW w:w="968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1610"/>
        <w:gridCol w:w="3920"/>
        <w:gridCol w:w="1130"/>
        <w:gridCol w:w="1870"/>
        <w:gridCol w:w="1150"/>
      </w:tblGrid>
      <w:tr w14:paraId="64436B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blHeader/>
        </w:trPr>
        <w:tc>
          <w:tcPr>
            <w:tcW w:w="1610" w:type="dxa"/>
            <w:tcBorders>
              <w:top w:val="single" w:color="000000" w:sz="4" w:space="0"/>
              <w:bottom w:val="single" w:color="000000" w:sz="4" w:space="0"/>
              <w:tl2br w:val="nil"/>
            </w:tcBorders>
            <w:shd w:val="clear" w:color="auto" w:fill="FFFFFF"/>
            <w:tcMar>
              <w:top w:w="100" w:type="dxa"/>
              <w:left w:w="0" w:type="dxa"/>
              <w:bottom w:w="100" w:type="dxa"/>
              <w:right w:w="160" w:type="dxa"/>
            </w:tcMar>
            <w:vAlign w:val="center"/>
          </w:tcPr>
          <w:p w14:paraId="35C9B90A">
            <w:pPr>
              <w:keepNext w:val="0"/>
              <w:keepLines w:val="0"/>
              <w:widowControl/>
              <w:suppressLineNumbers w:val="0"/>
              <w:snapToGrid w:val="0"/>
              <w:spacing w:line="250" w:lineRule="atLeast"/>
              <w:jc w:val="center"/>
              <w:rPr>
                <w:rFonts w:hint="eastAsia" w:ascii="仿宋" w:hAnsi="仿宋" w:eastAsia="仿宋" w:cs="仿宋"/>
                <w:b w:val="0"/>
                <w:color w:val="000000"/>
                <w:sz w:val="21"/>
                <w:szCs w:val="21"/>
              </w:rPr>
            </w:pPr>
            <w:r>
              <w:rPr>
                <w:rFonts w:hint="eastAsia" w:ascii="仿宋" w:hAnsi="仿宋" w:eastAsia="仿宋" w:cs="仿宋"/>
                <w:b w:val="0"/>
                <w:color w:val="000000"/>
                <w:kern w:val="0"/>
                <w:sz w:val="21"/>
                <w:szCs w:val="21"/>
                <w:lang w:val="en-US" w:eastAsia="zh-CN" w:bidi="ar"/>
              </w:rPr>
              <w:t>故障级别</w:t>
            </w:r>
          </w:p>
        </w:tc>
        <w:tc>
          <w:tcPr>
            <w:tcW w:w="3920" w:type="dxa"/>
            <w:tcBorders>
              <w:top w:val="single" w:color="000000" w:sz="4" w:space="0"/>
              <w:bottom w:val="single" w:color="000000" w:sz="4" w:space="0"/>
            </w:tcBorders>
            <w:shd w:val="clear" w:color="auto" w:fill="FFFFFF"/>
            <w:tcMar>
              <w:top w:w="100" w:type="dxa"/>
              <w:left w:w="160" w:type="dxa"/>
              <w:bottom w:w="100" w:type="dxa"/>
              <w:right w:w="160" w:type="dxa"/>
            </w:tcMar>
            <w:vAlign w:val="center"/>
          </w:tcPr>
          <w:p w14:paraId="3B0ED01E">
            <w:pPr>
              <w:keepNext w:val="0"/>
              <w:keepLines w:val="0"/>
              <w:widowControl/>
              <w:suppressLineNumbers w:val="0"/>
              <w:snapToGrid w:val="0"/>
              <w:spacing w:line="250" w:lineRule="atLeast"/>
              <w:jc w:val="center"/>
              <w:rPr>
                <w:rFonts w:hint="eastAsia" w:ascii="仿宋" w:hAnsi="仿宋" w:eastAsia="仿宋" w:cs="仿宋"/>
                <w:b w:val="0"/>
                <w:color w:val="000000"/>
                <w:sz w:val="21"/>
                <w:szCs w:val="21"/>
              </w:rPr>
            </w:pPr>
            <w:r>
              <w:rPr>
                <w:rFonts w:hint="eastAsia" w:ascii="仿宋" w:hAnsi="仿宋" w:eastAsia="仿宋" w:cs="仿宋"/>
                <w:b w:val="0"/>
                <w:color w:val="000000"/>
                <w:kern w:val="0"/>
                <w:sz w:val="21"/>
                <w:szCs w:val="21"/>
                <w:lang w:val="en-US" w:eastAsia="zh-CN" w:bidi="ar"/>
              </w:rPr>
              <w:t>定义</w:t>
            </w:r>
          </w:p>
        </w:tc>
        <w:tc>
          <w:tcPr>
            <w:tcW w:w="1130" w:type="dxa"/>
            <w:tcBorders>
              <w:top w:val="single" w:color="000000" w:sz="4" w:space="0"/>
              <w:bottom w:val="single" w:color="000000" w:sz="4" w:space="0"/>
            </w:tcBorders>
            <w:shd w:val="clear" w:color="auto" w:fill="FFFFFF"/>
            <w:tcMar>
              <w:top w:w="100" w:type="dxa"/>
              <w:left w:w="160" w:type="dxa"/>
              <w:bottom w:w="100" w:type="dxa"/>
              <w:right w:w="160" w:type="dxa"/>
            </w:tcMar>
            <w:vAlign w:val="center"/>
          </w:tcPr>
          <w:p w14:paraId="792B3351">
            <w:pPr>
              <w:keepNext w:val="0"/>
              <w:keepLines w:val="0"/>
              <w:widowControl/>
              <w:suppressLineNumbers w:val="0"/>
              <w:snapToGrid w:val="0"/>
              <w:spacing w:line="250" w:lineRule="atLeast"/>
              <w:jc w:val="center"/>
              <w:rPr>
                <w:rFonts w:hint="eastAsia" w:ascii="仿宋" w:hAnsi="仿宋" w:eastAsia="仿宋" w:cs="仿宋"/>
                <w:b w:val="0"/>
                <w:color w:val="000000"/>
                <w:sz w:val="21"/>
                <w:szCs w:val="21"/>
              </w:rPr>
            </w:pPr>
            <w:r>
              <w:rPr>
                <w:rFonts w:hint="eastAsia" w:ascii="仿宋" w:hAnsi="仿宋" w:eastAsia="仿宋" w:cs="仿宋"/>
                <w:b w:val="0"/>
                <w:color w:val="000000"/>
                <w:kern w:val="0"/>
                <w:sz w:val="21"/>
                <w:szCs w:val="21"/>
                <w:lang w:val="en-US" w:eastAsia="zh-CN" w:bidi="ar"/>
              </w:rPr>
              <w:t>远程响应</w:t>
            </w:r>
          </w:p>
        </w:tc>
        <w:tc>
          <w:tcPr>
            <w:tcW w:w="1870" w:type="dxa"/>
            <w:tcBorders>
              <w:top w:val="single" w:color="000000" w:sz="4" w:space="0"/>
              <w:bottom w:val="single" w:color="000000" w:sz="4" w:space="0"/>
            </w:tcBorders>
            <w:shd w:val="clear" w:color="auto" w:fill="FFFFFF"/>
            <w:tcMar>
              <w:top w:w="100" w:type="dxa"/>
              <w:left w:w="160" w:type="dxa"/>
              <w:bottom w:w="100" w:type="dxa"/>
              <w:right w:w="160" w:type="dxa"/>
            </w:tcMar>
            <w:vAlign w:val="center"/>
          </w:tcPr>
          <w:p w14:paraId="39470818">
            <w:pPr>
              <w:keepNext w:val="0"/>
              <w:keepLines w:val="0"/>
              <w:widowControl/>
              <w:suppressLineNumbers w:val="0"/>
              <w:snapToGrid w:val="0"/>
              <w:spacing w:line="250" w:lineRule="atLeast"/>
              <w:jc w:val="center"/>
              <w:rPr>
                <w:rFonts w:hint="eastAsia" w:ascii="仿宋" w:hAnsi="仿宋" w:eastAsia="仿宋" w:cs="仿宋"/>
                <w:b w:val="0"/>
                <w:color w:val="000000"/>
                <w:sz w:val="21"/>
                <w:szCs w:val="21"/>
              </w:rPr>
            </w:pPr>
            <w:r>
              <w:rPr>
                <w:rFonts w:hint="eastAsia" w:ascii="仿宋" w:hAnsi="仿宋" w:eastAsia="仿宋" w:cs="仿宋"/>
                <w:b w:val="0"/>
                <w:color w:val="000000"/>
                <w:kern w:val="0"/>
                <w:sz w:val="21"/>
                <w:szCs w:val="21"/>
                <w:lang w:val="en-US" w:eastAsia="zh-CN" w:bidi="ar"/>
              </w:rPr>
              <w:t>上门响应（到达现场）</w:t>
            </w:r>
          </w:p>
        </w:tc>
        <w:tc>
          <w:tcPr>
            <w:tcW w:w="1150" w:type="dxa"/>
            <w:tcBorders>
              <w:top w:val="single" w:color="000000" w:sz="4" w:space="0"/>
              <w:bottom w:val="single" w:color="000000" w:sz="4" w:space="0"/>
            </w:tcBorders>
            <w:shd w:val="clear" w:color="auto" w:fill="FFFFFF"/>
            <w:tcMar>
              <w:top w:w="100" w:type="dxa"/>
              <w:left w:w="160" w:type="dxa"/>
              <w:bottom w:w="100" w:type="dxa"/>
              <w:right w:w="160" w:type="dxa"/>
            </w:tcMar>
            <w:vAlign w:val="center"/>
          </w:tcPr>
          <w:p w14:paraId="45C13AC9">
            <w:pPr>
              <w:keepNext w:val="0"/>
              <w:keepLines w:val="0"/>
              <w:widowControl/>
              <w:suppressLineNumbers w:val="0"/>
              <w:snapToGrid w:val="0"/>
              <w:spacing w:line="250" w:lineRule="atLeast"/>
              <w:jc w:val="center"/>
              <w:rPr>
                <w:rFonts w:hint="eastAsia" w:ascii="仿宋" w:hAnsi="仿宋" w:eastAsia="仿宋" w:cs="仿宋"/>
                <w:b w:val="0"/>
                <w:color w:val="000000"/>
                <w:sz w:val="21"/>
                <w:szCs w:val="21"/>
              </w:rPr>
            </w:pPr>
            <w:r>
              <w:rPr>
                <w:rFonts w:hint="eastAsia" w:ascii="仿宋" w:hAnsi="仿宋" w:eastAsia="仿宋" w:cs="仿宋"/>
                <w:b w:val="0"/>
                <w:color w:val="000000"/>
                <w:kern w:val="0"/>
                <w:sz w:val="21"/>
                <w:szCs w:val="21"/>
                <w:lang w:val="en-US" w:eastAsia="zh-CN" w:bidi="ar"/>
              </w:rPr>
              <w:t>修复时限</w:t>
            </w:r>
          </w:p>
        </w:tc>
      </w:tr>
      <w:tr w14:paraId="61E0A8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cantSplit/>
        </w:trPr>
        <w:tc>
          <w:tcPr>
            <w:tcW w:w="1610" w:type="dxa"/>
            <w:tcBorders>
              <w:top w:val="single" w:color="000000" w:sz="4" w:space="0"/>
              <w:bottom w:val="single" w:color="000000" w:sz="4" w:space="0"/>
            </w:tcBorders>
            <w:shd w:val="clear" w:color="auto" w:fill="FFFFFF"/>
            <w:tcMar>
              <w:top w:w="100" w:type="dxa"/>
              <w:left w:w="0" w:type="dxa"/>
              <w:bottom w:w="100" w:type="dxa"/>
              <w:right w:w="160" w:type="dxa"/>
            </w:tcMar>
            <w:vAlign w:val="center"/>
          </w:tcPr>
          <w:p w14:paraId="5C0615E5">
            <w:pPr>
              <w:keepNext w:val="0"/>
              <w:keepLines w:val="0"/>
              <w:widowControl/>
              <w:suppressLineNumbers w:val="0"/>
              <w:snapToGrid w:val="0"/>
              <w:spacing w:line="250" w:lineRule="atLeast"/>
              <w:jc w:val="center"/>
              <w:rPr>
                <w:rFonts w:hint="eastAsia" w:ascii="仿宋" w:hAnsi="仿宋" w:eastAsia="仿宋" w:cs="仿宋"/>
                <w:b w:val="0"/>
                <w:color w:val="000000"/>
                <w:sz w:val="21"/>
                <w:szCs w:val="21"/>
              </w:rPr>
            </w:pPr>
            <w:r>
              <w:rPr>
                <w:rFonts w:hint="eastAsia" w:ascii="仿宋" w:hAnsi="仿宋" w:eastAsia="仿宋" w:cs="仿宋"/>
                <w:b w:val="0"/>
                <w:bCs/>
                <w:color w:val="000000"/>
                <w:kern w:val="0"/>
                <w:sz w:val="21"/>
                <w:szCs w:val="21"/>
                <w:lang w:val="en-US" w:eastAsia="zh-CN" w:bidi="ar"/>
              </w:rPr>
              <w:t>P1（紧急）</w:t>
            </w:r>
          </w:p>
        </w:tc>
        <w:tc>
          <w:tcPr>
            <w:tcW w:w="3920" w:type="dxa"/>
            <w:tcBorders>
              <w:top w:val="single" w:color="000000" w:sz="4" w:space="0"/>
              <w:bottom w:val="single" w:color="000000" w:sz="4" w:space="0"/>
            </w:tcBorders>
            <w:shd w:val="clear" w:color="auto" w:fill="FFFFFF"/>
            <w:tcMar>
              <w:top w:w="100" w:type="dxa"/>
              <w:left w:w="160" w:type="dxa"/>
              <w:bottom w:w="100" w:type="dxa"/>
              <w:right w:w="160" w:type="dxa"/>
            </w:tcMar>
            <w:vAlign w:val="center"/>
          </w:tcPr>
          <w:p w14:paraId="0095CA7E">
            <w:pPr>
              <w:keepNext w:val="0"/>
              <w:keepLines w:val="0"/>
              <w:widowControl/>
              <w:suppressLineNumbers w:val="0"/>
              <w:snapToGrid w:val="0"/>
              <w:spacing w:line="250" w:lineRule="atLeast"/>
              <w:jc w:val="center"/>
              <w:rPr>
                <w:rFonts w:hint="eastAsia" w:ascii="仿宋" w:hAnsi="仿宋" w:eastAsia="仿宋" w:cs="仿宋"/>
                <w:b w:val="0"/>
                <w:color w:val="000000"/>
                <w:sz w:val="21"/>
                <w:szCs w:val="21"/>
              </w:rPr>
            </w:pPr>
            <w:r>
              <w:rPr>
                <w:rFonts w:hint="eastAsia" w:ascii="仿宋" w:hAnsi="仿宋" w:eastAsia="仿宋" w:cs="仿宋"/>
                <w:b w:val="0"/>
                <w:color w:val="000000"/>
                <w:kern w:val="0"/>
                <w:sz w:val="21"/>
                <w:szCs w:val="21"/>
                <w:lang w:val="en-US" w:eastAsia="zh-CN" w:bidi="ar"/>
              </w:rPr>
              <w:t>OSCE考试系统崩溃、核心服务器宕机、大面积教学设备瘫痪</w:t>
            </w:r>
          </w:p>
        </w:tc>
        <w:tc>
          <w:tcPr>
            <w:tcW w:w="1130" w:type="dxa"/>
            <w:tcBorders>
              <w:top w:val="single" w:color="000000" w:sz="4" w:space="0"/>
              <w:bottom w:val="single" w:color="000000" w:sz="4" w:space="0"/>
            </w:tcBorders>
            <w:shd w:val="clear" w:color="auto" w:fill="FFFFFF"/>
            <w:tcMar>
              <w:top w:w="100" w:type="dxa"/>
              <w:left w:w="160" w:type="dxa"/>
              <w:bottom w:w="100" w:type="dxa"/>
              <w:right w:w="160" w:type="dxa"/>
            </w:tcMar>
            <w:vAlign w:val="center"/>
          </w:tcPr>
          <w:p w14:paraId="59FDC163">
            <w:pPr>
              <w:keepNext w:val="0"/>
              <w:keepLines w:val="0"/>
              <w:widowControl/>
              <w:suppressLineNumbers w:val="0"/>
              <w:snapToGrid w:val="0"/>
              <w:spacing w:line="250" w:lineRule="atLeast"/>
              <w:jc w:val="center"/>
              <w:rPr>
                <w:rFonts w:hint="eastAsia" w:ascii="仿宋" w:hAnsi="仿宋" w:eastAsia="仿宋" w:cs="仿宋"/>
                <w:b w:val="0"/>
                <w:color w:val="000000"/>
                <w:sz w:val="21"/>
                <w:szCs w:val="21"/>
              </w:rPr>
            </w:pPr>
            <w:r>
              <w:rPr>
                <w:rFonts w:hint="eastAsia" w:ascii="仿宋" w:hAnsi="仿宋" w:eastAsia="仿宋" w:cs="仿宋"/>
                <w:b w:val="0"/>
                <w:color w:val="000000"/>
                <w:kern w:val="0"/>
                <w:sz w:val="21"/>
                <w:szCs w:val="21"/>
                <w:lang w:val="en-US" w:eastAsia="zh-CN" w:bidi="ar"/>
              </w:rPr>
              <w:t>≤10分钟</w:t>
            </w:r>
          </w:p>
        </w:tc>
        <w:tc>
          <w:tcPr>
            <w:tcW w:w="1870" w:type="dxa"/>
            <w:tcBorders>
              <w:top w:val="single" w:color="000000" w:sz="4" w:space="0"/>
              <w:bottom w:val="single" w:color="000000" w:sz="4" w:space="0"/>
            </w:tcBorders>
            <w:shd w:val="clear" w:color="auto" w:fill="FFFFFF"/>
            <w:tcMar>
              <w:top w:w="100" w:type="dxa"/>
              <w:left w:w="160" w:type="dxa"/>
              <w:bottom w:w="100" w:type="dxa"/>
              <w:right w:w="160" w:type="dxa"/>
            </w:tcMar>
            <w:vAlign w:val="center"/>
          </w:tcPr>
          <w:p w14:paraId="2A1E5B30">
            <w:pPr>
              <w:keepNext w:val="0"/>
              <w:keepLines w:val="0"/>
              <w:widowControl/>
              <w:suppressLineNumbers w:val="0"/>
              <w:snapToGrid w:val="0"/>
              <w:spacing w:line="250" w:lineRule="atLeast"/>
              <w:jc w:val="center"/>
              <w:rPr>
                <w:rFonts w:hint="eastAsia" w:ascii="仿宋" w:hAnsi="仿宋" w:eastAsia="仿宋" w:cs="仿宋"/>
                <w:b w:val="0"/>
                <w:color w:val="000000"/>
                <w:sz w:val="21"/>
                <w:szCs w:val="21"/>
              </w:rPr>
            </w:pPr>
            <w:r>
              <w:rPr>
                <w:rFonts w:hint="eastAsia" w:ascii="仿宋" w:hAnsi="仿宋" w:eastAsia="仿宋" w:cs="仿宋"/>
                <w:b w:val="0"/>
                <w:color w:val="000000"/>
                <w:kern w:val="0"/>
                <w:sz w:val="21"/>
                <w:szCs w:val="21"/>
                <w:lang w:val="en-US" w:eastAsia="zh-CN" w:bidi="ar"/>
              </w:rPr>
              <w:t>≤3小时</w:t>
            </w:r>
          </w:p>
        </w:tc>
        <w:tc>
          <w:tcPr>
            <w:tcW w:w="1150" w:type="dxa"/>
            <w:tcBorders>
              <w:top w:val="single" w:color="000000" w:sz="4" w:space="0"/>
              <w:bottom w:val="single" w:color="000000" w:sz="4" w:space="0"/>
            </w:tcBorders>
            <w:shd w:val="clear" w:color="auto" w:fill="FFFFFF"/>
            <w:tcMar>
              <w:top w:w="100" w:type="dxa"/>
              <w:left w:w="160" w:type="dxa"/>
              <w:bottom w:w="100" w:type="dxa"/>
              <w:right w:w="0" w:type="dxa"/>
            </w:tcMar>
            <w:vAlign w:val="center"/>
          </w:tcPr>
          <w:p w14:paraId="7731EDBC">
            <w:pPr>
              <w:keepNext w:val="0"/>
              <w:keepLines w:val="0"/>
              <w:widowControl/>
              <w:suppressLineNumbers w:val="0"/>
              <w:snapToGrid w:val="0"/>
              <w:spacing w:line="250" w:lineRule="atLeast"/>
              <w:jc w:val="center"/>
              <w:rPr>
                <w:rFonts w:hint="eastAsia" w:ascii="仿宋" w:hAnsi="仿宋" w:eastAsia="仿宋" w:cs="仿宋"/>
                <w:b w:val="0"/>
                <w:color w:val="000000"/>
                <w:sz w:val="21"/>
                <w:szCs w:val="21"/>
              </w:rPr>
            </w:pPr>
            <w:r>
              <w:rPr>
                <w:rFonts w:hint="eastAsia" w:ascii="仿宋" w:hAnsi="仿宋" w:eastAsia="仿宋" w:cs="仿宋"/>
                <w:b w:val="0"/>
                <w:color w:val="000000"/>
                <w:kern w:val="0"/>
                <w:sz w:val="21"/>
                <w:szCs w:val="21"/>
                <w:lang w:val="en-US" w:eastAsia="zh-CN" w:bidi="ar"/>
              </w:rPr>
              <w:t>≤4小时</w:t>
            </w:r>
          </w:p>
        </w:tc>
      </w:tr>
      <w:tr w14:paraId="1A02C9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cantSplit/>
        </w:trPr>
        <w:tc>
          <w:tcPr>
            <w:tcW w:w="1610" w:type="dxa"/>
            <w:tcBorders>
              <w:top w:val="single" w:color="000000" w:sz="4" w:space="0"/>
              <w:bottom w:val="single" w:color="000000" w:sz="4" w:space="0"/>
            </w:tcBorders>
            <w:shd w:val="clear" w:color="auto" w:fill="FFFFFF"/>
            <w:tcMar>
              <w:top w:w="100" w:type="dxa"/>
              <w:left w:w="0" w:type="dxa"/>
              <w:bottom w:w="100" w:type="dxa"/>
              <w:right w:w="160" w:type="dxa"/>
            </w:tcMar>
            <w:vAlign w:val="center"/>
          </w:tcPr>
          <w:p w14:paraId="0CC9FAB8">
            <w:pPr>
              <w:keepNext w:val="0"/>
              <w:keepLines w:val="0"/>
              <w:widowControl/>
              <w:suppressLineNumbers w:val="0"/>
              <w:snapToGrid w:val="0"/>
              <w:spacing w:line="250" w:lineRule="atLeast"/>
              <w:jc w:val="center"/>
              <w:rPr>
                <w:rFonts w:hint="eastAsia" w:ascii="仿宋" w:hAnsi="仿宋" w:eastAsia="仿宋" w:cs="仿宋"/>
                <w:b w:val="0"/>
                <w:color w:val="000000"/>
                <w:sz w:val="21"/>
                <w:szCs w:val="21"/>
              </w:rPr>
            </w:pPr>
            <w:r>
              <w:rPr>
                <w:rFonts w:hint="eastAsia" w:ascii="仿宋" w:hAnsi="仿宋" w:eastAsia="仿宋" w:cs="仿宋"/>
                <w:b w:val="0"/>
                <w:bCs/>
                <w:color w:val="000000"/>
                <w:kern w:val="0"/>
                <w:sz w:val="21"/>
                <w:szCs w:val="21"/>
                <w:lang w:val="en-US" w:eastAsia="zh-CN" w:bidi="ar"/>
              </w:rPr>
              <w:t>P2（严重）</w:t>
            </w:r>
          </w:p>
        </w:tc>
        <w:tc>
          <w:tcPr>
            <w:tcW w:w="3920" w:type="dxa"/>
            <w:tcBorders>
              <w:top w:val="single" w:color="000000" w:sz="4" w:space="0"/>
              <w:bottom w:val="single" w:color="000000" w:sz="4" w:space="0"/>
            </w:tcBorders>
            <w:shd w:val="clear" w:color="auto" w:fill="FFFFFF"/>
            <w:tcMar>
              <w:top w:w="100" w:type="dxa"/>
              <w:left w:w="160" w:type="dxa"/>
              <w:bottom w:w="100" w:type="dxa"/>
              <w:right w:w="160" w:type="dxa"/>
            </w:tcMar>
            <w:vAlign w:val="center"/>
          </w:tcPr>
          <w:p w14:paraId="28BEA281">
            <w:pPr>
              <w:keepNext w:val="0"/>
              <w:keepLines w:val="0"/>
              <w:widowControl/>
              <w:suppressLineNumbers w:val="0"/>
              <w:snapToGrid w:val="0"/>
              <w:spacing w:line="250" w:lineRule="atLeast"/>
              <w:jc w:val="center"/>
              <w:rPr>
                <w:rFonts w:hint="eastAsia" w:ascii="仿宋" w:hAnsi="仿宋" w:eastAsia="仿宋" w:cs="仿宋"/>
                <w:b w:val="0"/>
                <w:color w:val="000000"/>
                <w:sz w:val="21"/>
                <w:szCs w:val="21"/>
              </w:rPr>
            </w:pPr>
            <w:r>
              <w:rPr>
                <w:rFonts w:hint="eastAsia" w:ascii="仿宋" w:hAnsi="仿宋" w:eastAsia="仿宋" w:cs="仿宋"/>
                <w:b w:val="0"/>
                <w:color w:val="000000"/>
                <w:kern w:val="0"/>
                <w:sz w:val="21"/>
                <w:szCs w:val="21"/>
                <w:lang w:val="en-US" w:eastAsia="zh-CN" w:bidi="ar"/>
              </w:rPr>
              <w:t>单套训练系统无法使用、投影/音频故障影响单间教室授课、网络局部中断</w:t>
            </w:r>
          </w:p>
        </w:tc>
        <w:tc>
          <w:tcPr>
            <w:tcW w:w="1130" w:type="dxa"/>
            <w:tcBorders>
              <w:top w:val="single" w:color="000000" w:sz="4" w:space="0"/>
              <w:bottom w:val="single" w:color="000000" w:sz="4" w:space="0"/>
            </w:tcBorders>
            <w:shd w:val="clear" w:color="auto" w:fill="FFFFFF"/>
            <w:tcMar>
              <w:top w:w="100" w:type="dxa"/>
              <w:left w:w="160" w:type="dxa"/>
              <w:bottom w:w="100" w:type="dxa"/>
              <w:right w:w="160" w:type="dxa"/>
            </w:tcMar>
            <w:vAlign w:val="center"/>
          </w:tcPr>
          <w:p w14:paraId="445DF0D6">
            <w:pPr>
              <w:keepNext w:val="0"/>
              <w:keepLines w:val="0"/>
              <w:widowControl/>
              <w:suppressLineNumbers w:val="0"/>
              <w:snapToGrid w:val="0"/>
              <w:spacing w:line="250" w:lineRule="atLeast"/>
              <w:jc w:val="center"/>
              <w:rPr>
                <w:rFonts w:hint="eastAsia" w:ascii="仿宋" w:hAnsi="仿宋" w:eastAsia="仿宋" w:cs="仿宋"/>
                <w:b w:val="0"/>
                <w:color w:val="000000"/>
                <w:sz w:val="21"/>
                <w:szCs w:val="21"/>
              </w:rPr>
            </w:pPr>
            <w:r>
              <w:rPr>
                <w:rFonts w:hint="eastAsia" w:ascii="仿宋" w:hAnsi="仿宋" w:eastAsia="仿宋" w:cs="仿宋"/>
                <w:b w:val="0"/>
                <w:color w:val="000000"/>
                <w:kern w:val="0"/>
                <w:sz w:val="21"/>
                <w:szCs w:val="21"/>
                <w:lang w:val="en-US" w:eastAsia="zh-CN" w:bidi="ar"/>
              </w:rPr>
              <w:t>≤15分钟</w:t>
            </w:r>
          </w:p>
        </w:tc>
        <w:tc>
          <w:tcPr>
            <w:tcW w:w="1870" w:type="dxa"/>
            <w:tcBorders>
              <w:top w:val="single" w:color="000000" w:sz="4" w:space="0"/>
              <w:bottom w:val="single" w:color="000000" w:sz="4" w:space="0"/>
            </w:tcBorders>
            <w:shd w:val="clear" w:color="auto" w:fill="FFFFFF"/>
            <w:tcMar>
              <w:top w:w="100" w:type="dxa"/>
              <w:left w:w="160" w:type="dxa"/>
              <w:bottom w:w="100" w:type="dxa"/>
              <w:right w:w="160" w:type="dxa"/>
            </w:tcMar>
            <w:vAlign w:val="center"/>
          </w:tcPr>
          <w:p w14:paraId="1613641B">
            <w:pPr>
              <w:keepNext w:val="0"/>
              <w:keepLines w:val="0"/>
              <w:widowControl/>
              <w:suppressLineNumbers w:val="0"/>
              <w:snapToGrid w:val="0"/>
              <w:spacing w:line="250" w:lineRule="atLeast"/>
              <w:jc w:val="center"/>
              <w:rPr>
                <w:rFonts w:hint="eastAsia" w:ascii="仿宋" w:hAnsi="仿宋" w:eastAsia="仿宋" w:cs="仿宋"/>
                <w:b w:val="0"/>
                <w:color w:val="000000"/>
                <w:sz w:val="21"/>
                <w:szCs w:val="21"/>
              </w:rPr>
            </w:pPr>
            <w:r>
              <w:rPr>
                <w:rFonts w:hint="eastAsia" w:ascii="仿宋" w:hAnsi="仿宋" w:eastAsia="仿宋" w:cs="仿宋"/>
                <w:b w:val="0"/>
                <w:color w:val="000000"/>
                <w:kern w:val="0"/>
                <w:sz w:val="21"/>
                <w:szCs w:val="21"/>
                <w:lang w:val="en-US" w:eastAsia="zh-CN" w:bidi="ar"/>
              </w:rPr>
              <w:t>≤8小时</w:t>
            </w:r>
          </w:p>
        </w:tc>
        <w:tc>
          <w:tcPr>
            <w:tcW w:w="1150" w:type="dxa"/>
            <w:tcBorders>
              <w:top w:val="single" w:color="000000" w:sz="4" w:space="0"/>
              <w:bottom w:val="single" w:color="000000" w:sz="4" w:space="0"/>
            </w:tcBorders>
            <w:shd w:val="clear" w:color="auto" w:fill="FFFFFF"/>
            <w:tcMar>
              <w:top w:w="100" w:type="dxa"/>
              <w:left w:w="160" w:type="dxa"/>
              <w:bottom w:w="100" w:type="dxa"/>
              <w:right w:w="0" w:type="dxa"/>
            </w:tcMar>
            <w:vAlign w:val="center"/>
          </w:tcPr>
          <w:p w14:paraId="6BC0B13D">
            <w:pPr>
              <w:keepNext w:val="0"/>
              <w:keepLines w:val="0"/>
              <w:widowControl/>
              <w:suppressLineNumbers w:val="0"/>
              <w:snapToGrid w:val="0"/>
              <w:spacing w:line="250" w:lineRule="atLeast"/>
              <w:jc w:val="center"/>
              <w:rPr>
                <w:rFonts w:hint="eastAsia" w:ascii="仿宋" w:hAnsi="仿宋" w:eastAsia="仿宋" w:cs="仿宋"/>
                <w:b w:val="0"/>
                <w:color w:val="000000"/>
                <w:sz w:val="21"/>
                <w:szCs w:val="21"/>
              </w:rPr>
            </w:pPr>
            <w:r>
              <w:rPr>
                <w:rFonts w:hint="eastAsia" w:ascii="仿宋" w:hAnsi="仿宋" w:eastAsia="仿宋" w:cs="仿宋"/>
                <w:b w:val="0"/>
                <w:color w:val="000000"/>
                <w:kern w:val="0"/>
                <w:sz w:val="21"/>
                <w:szCs w:val="21"/>
                <w:lang w:val="en-US" w:eastAsia="zh-CN" w:bidi="ar"/>
              </w:rPr>
              <w:t>≤24小时</w:t>
            </w:r>
          </w:p>
        </w:tc>
      </w:tr>
      <w:tr w14:paraId="05854C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cantSplit/>
        </w:trPr>
        <w:tc>
          <w:tcPr>
            <w:tcW w:w="1610" w:type="dxa"/>
            <w:tcBorders>
              <w:top w:val="single" w:color="000000" w:sz="4" w:space="0"/>
              <w:bottom w:val="single" w:color="000000" w:sz="4" w:space="0"/>
            </w:tcBorders>
            <w:shd w:val="clear" w:color="auto" w:fill="FFFFFF"/>
            <w:tcMar>
              <w:top w:w="100" w:type="dxa"/>
              <w:left w:w="0" w:type="dxa"/>
              <w:bottom w:w="100" w:type="dxa"/>
              <w:right w:w="160" w:type="dxa"/>
            </w:tcMar>
            <w:vAlign w:val="center"/>
          </w:tcPr>
          <w:p w14:paraId="7358F6B3">
            <w:pPr>
              <w:keepNext w:val="0"/>
              <w:keepLines w:val="0"/>
              <w:widowControl/>
              <w:suppressLineNumbers w:val="0"/>
              <w:snapToGrid w:val="0"/>
              <w:spacing w:line="250" w:lineRule="atLeast"/>
              <w:jc w:val="center"/>
              <w:rPr>
                <w:rFonts w:hint="eastAsia" w:ascii="仿宋" w:hAnsi="仿宋" w:eastAsia="仿宋" w:cs="仿宋"/>
                <w:b w:val="0"/>
                <w:color w:val="000000"/>
                <w:sz w:val="21"/>
                <w:szCs w:val="21"/>
              </w:rPr>
            </w:pPr>
            <w:r>
              <w:rPr>
                <w:rFonts w:hint="eastAsia" w:ascii="仿宋" w:hAnsi="仿宋" w:eastAsia="仿宋" w:cs="仿宋"/>
                <w:b w:val="0"/>
                <w:bCs/>
                <w:color w:val="000000"/>
                <w:kern w:val="0"/>
                <w:sz w:val="21"/>
                <w:szCs w:val="21"/>
                <w:lang w:val="en-US" w:eastAsia="zh-CN" w:bidi="ar"/>
              </w:rPr>
              <w:t>P3（一般）</w:t>
            </w:r>
          </w:p>
        </w:tc>
        <w:tc>
          <w:tcPr>
            <w:tcW w:w="3920" w:type="dxa"/>
            <w:tcBorders>
              <w:top w:val="single" w:color="000000" w:sz="4" w:space="0"/>
              <w:bottom w:val="single" w:color="000000" w:sz="4" w:space="0"/>
            </w:tcBorders>
            <w:shd w:val="clear" w:color="auto" w:fill="FFFFFF"/>
            <w:tcMar>
              <w:top w:w="100" w:type="dxa"/>
              <w:left w:w="160" w:type="dxa"/>
              <w:bottom w:w="100" w:type="dxa"/>
              <w:right w:w="160" w:type="dxa"/>
            </w:tcMar>
            <w:vAlign w:val="center"/>
          </w:tcPr>
          <w:p w14:paraId="3C41636B">
            <w:pPr>
              <w:keepNext w:val="0"/>
              <w:keepLines w:val="0"/>
              <w:widowControl/>
              <w:suppressLineNumbers w:val="0"/>
              <w:snapToGrid w:val="0"/>
              <w:spacing w:line="250" w:lineRule="atLeast"/>
              <w:jc w:val="center"/>
              <w:rPr>
                <w:rFonts w:hint="eastAsia" w:ascii="仿宋" w:hAnsi="仿宋" w:eastAsia="仿宋" w:cs="仿宋"/>
                <w:b w:val="0"/>
                <w:color w:val="000000"/>
                <w:sz w:val="21"/>
                <w:szCs w:val="21"/>
              </w:rPr>
            </w:pPr>
            <w:r>
              <w:rPr>
                <w:rFonts w:hint="eastAsia" w:ascii="仿宋" w:hAnsi="仿宋" w:eastAsia="仿宋" w:cs="仿宋"/>
                <w:b w:val="0"/>
                <w:color w:val="000000"/>
                <w:kern w:val="0"/>
                <w:sz w:val="21"/>
                <w:szCs w:val="21"/>
                <w:lang w:val="en-US" w:eastAsia="zh-CN" w:bidi="ar"/>
              </w:rPr>
              <w:t>单台电脑/平板故障、个别门禁失效、软件操作卡顿</w:t>
            </w:r>
          </w:p>
        </w:tc>
        <w:tc>
          <w:tcPr>
            <w:tcW w:w="1130" w:type="dxa"/>
            <w:tcBorders>
              <w:top w:val="single" w:color="000000" w:sz="4" w:space="0"/>
              <w:bottom w:val="single" w:color="000000" w:sz="4" w:space="0"/>
            </w:tcBorders>
            <w:shd w:val="clear" w:color="auto" w:fill="FFFFFF"/>
            <w:tcMar>
              <w:top w:w="100" w:type="dxa"/>
              <w:left w:w="160" w:type="dxa"/>
              <w:bottom w:w="100" w:type="dxa"/>
              <w:right w:w="160" w:type="dxa"/>
            </w:tcMar>
            <w:vAlign w:val="center"/>
          </w:tcPr>
          <w:p w14:paraId="56B78B52">
            <w:pPr>
              <w:keepNext w:val="0"/>
              <w:keepLines w:val="0"/>
              <w:widowControl/>
              <w:suppressLineNumbers w:val="0"/>
              <w:snapToGrid w:val="0"/>
              <w:spacing w:line="250" w:lineRule="atLeast"/>
              <w:jc w:val="center"/>
              <w:rPr>
                <w:rFonts w:hint="eastAsia" w:ascii="仿宋" w:hAnsi="仿宋" w:eastAsia="仿宋" w:cs="仿宋"/>
                <w:b w:val="0"/>
                <w:color w:val="000000"/>
                <w:sz w:val="21"/>
                <w:szCs w:val="21"/>
              </w:rPr>
            </w:pPr>
            <w:r>
              <w:rPr>
                <w:rFonts w:hint="eastAsia" w:ascii="仿宋" w:hAnsi="仿宋" w:eastAsia="仿宋" w:cs="仿宋"/>
                <w:b w:val="0"/>
                <w:color w:val="000000"/>
                <w:kern w:val="0"/>
                <w:sz w:val="21"/>
                <w:szCs w:val="21"/>
                <w:lang w:val="en-US" w:eastAsia="zh-CN" w:bidi="ar"/>
              </w:rPr>
              <w:t>≤30小时</w:t>
            </w:r>
          </w:p>
        </w:tc>
        <w:tc>
          <w:tcPr>
            <w:tcW w:w="1870" w:type="dxa"/>
            <w:tcBorders>
              <w:top w:val="single" w:color="000000" w:sz="4" w:space="0"/>
              <w:bottom w:val="single" w:color="000000" w:sz="4" w:space="0"/>
            </w:tcBorders>
            <w:shd w:val="clear" w:color="auto" w:fill="FFFFFF"/>
            <w:tcMar>
              <w:top w:w="100" w:type="dxa"/>
              <w:left w:w="160" w:type="dxa"/>
              <w:bottom w:w="100" w:type="dxa"/>
              <w:right w:w="160" w:type="dxa"/>
            </w:tcMar>
            <w:vAlign w:val="center"/>
          </w:tcPr>
          <w:p w14:paraId="533660B9">
            <w:pPr>
              <w:keepNext w:val="0"/>
              <w:keepLines w:val="0"/>
              <w:widowControl/>
              <w:suppressLineNumbers w:val="0"/>
              <w:snapToGrid w:val="0"/>
              <w:spacing w:line="250" w:lineRule="atLeast"/>
              <w:jc w:val="center"/>
              <w:rPr>
                <w:rFonts w:hint="eastAsia" w:ascii="仿宋" w:hAnsi="仿宋" w:eastAsia="仿宋" w:cs="仿宋"/>
                <w:b w:val="0"/>
                <w:color w:val="000000"/>
                <w:sz w:val="21"/>
                <w:szCs w:val="21"/>
              </w:rPr>
            </w:pPr>
            <w:r>
              <w:rPr>
                <w:rFonts w:hint="eastAsia" w:ascii="仿宋" w:hAnsi="仿宋" w:eastAsia="仿宋" w:cs="仿宋"/>
                <w:b w:val="0"/>
                <w:color w:val="000000"/>
                <w:kern w:val="0"/>
                <w:sz w:val="21"/>
                <w:szCs w:val="21"/>
                <w:lang w:val="en-US" w:eastAsia="zh-CN" w:bidi="ar"/>
              </w:rPr>
              <w:t>≤24小时</w:t>
            </w:r>
          </w:p>
        </w:tc>
        <w:tc>
          <w:tcPr>
            <w:tcW w:w="1150" w:type="dxa"/>
            <w:tcBorders>
              <w:top w:val="single" w:color="000000" w:sz="4" w:space="0"/>
              <w:bottom w:val="single" w:color="000000" w:sz="4" w:space="0"/>
            </w:tcBorders>
            <w:shd w:val="clear" w:color="auto" w:fill="FFFFFF"/>
            <w:tcMar>
              <w:top w:w="100" w:type="dxa"/>
              <w:left w:w="160" w:type="dxa"/>
              <w:bottom w:w="100" w:type="dxa"/>
              <w:right w:w="0" w:type="dxa"/>
            </w:tcMar>
            <w:vAlign w:val="center"/>
          </w:tcPr>
          <w:p w14:paraId="3EFA0BC1">
            <w:pPr>
              <w:keepNext w:val="0"/>
              <w:keepLines w:val="0"/>
              <w:widowControl/>
              <w:suppressLineNumbers w:val="0"/>
              <w:snapToGrid w:val="0"/>
              <w:spacing w:line="250" w:lineRule="atLeast"/>
              <w:jc w:val="center"/>
              <w:rPr>
                <w:rFonts w:hint="eastAsia" w:ascii="仿宋" w:hAnsi="仿宋" w:eastAsia="仿宋" w:cs="仿宋"/>
                <w:b w:val="0"/>
                <w:color w:val="000000"/>
                <w:sz w:val="21"/>
                <w:szCs w:val="21"/>
              </w:rPr>
            </w:pPr>
            <w:r>
              <w:rPr>
                <w:rFonts w:hint="eastAsia" w:ascii="仿宋" w:hAnsi="仿宋" w:eastAsia="仿宋" w:cs="仿宋"/>
                <w:b w:val="0"/>
                <w:color w:val="000000"/>
                <w:kern w:val="0"/>
                <w:sz w:val="21"/>
                <w:szCs w:val="21"/>
                <w:lang w:val="en-US" w:eastAsia="zh-CN" w:bidi="ar"/>
              </w:rPr>
              <w:t>≤72小时</w:t>
            </w:r>
          </w:p>
        </w:tc>
      </w:tr>
      <w:tr w14:paraId="42AE83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cantSplit/>
        </w:trPr>
        <w:tc>
          <w:tcPr>
            <w:tcW w:w="1610" w:type="dxa"/>
            <w:tcBorders>
              <w:top w:val="single" w:color="000000" w:sz="4" w:space="0"/>
              <w:bottom w:val="single" w:color="000000" w:sz="4" w:space="0"/>
            </w:tcBorders>
            <w:shd w:val="clear" w:color="auto" w:fill="FFFFFF"/>
            <w:tcMar>
              <w:top w:w="100" w:type="dxa"/>
              <w:left w:w="0" w:type="dxa"/>
              <w:bottom w:w="100" w:type="dxa"/>
              <w:right w:w="160" w:type="dxa"/>
            </w:tcMar>
            <w:vAlign w:val="center"/>
          </w:tcPr>
          <w:p w14:paraId="4D5259DC">
            <w:pPr>
              <w:keepNext w:val="0"/>
              <w:keepLines w:val="0"/>
              <w:widowControl/>
              <w:suppressLineNumbers w:val="0"/>
              <w:snapToGrid w:val="0"/>
              <w:spacing w:line="250" w:lineRule="atLeast"/>
              <w:jc w:val="center"/>
              <w:rPr>
                <w:rFonts w:hint="eastAsia" w:ascii="仿宋" w:hAnsi="仿宋" w:eastAsia="仿宋" w:cs="仿宋"/>
                <w:b w:val="0"/>
                <w:color w:val="000000"/>
                <w:sz w:val="21"/>
                <w:szCs w:val="21"/>
              </w:rPr>
            </w:pPr>
            <w:r>
              <w:rPr>
                <w:rFonts w:hint="eastAsia" w:ascii="仿宋" w:hAnsi="仿宋" w:eastAsia="仿宋" w:cs="仿宋"/>
                <w:b w:val="0"/>
                <w:bCs/>
                <w:color w:val="000000"/>
                <w:kern w:val="0"/>
                <w:sz w:val="21"/>
                <w:szCs w:val="21"/>
                <w:lang w:val="en-US" w:eastAsia="zh-CN" w:bidi="ar"/>
              </w:rPr>
              <w:t>巡检服务</w:t>
            </w:r>
          </w:p>
        </w:tc>
        <w:tc>
          <w:tcPr>
            <w:tcW w:w="3920" w:type="dxa"/>
            <w:tcBorders>
              <w:top w:val="single" w:color="000000" w:sz="4" w:space="0"/>
              <w:bottom w:val="single" w:color="000000" w:sz="4" w:space="0"/>
            </w:tcBorders>
            <w:shd w:val="clear" w:color="auto" w:fill="FFFFFF"/>
            <w:tcMar>
              <w:top w:w="100" w:type="dxa"/>
              <w:left w:w="160" w:type="dxa"/>
              <w:bottom w:w="100" w:type="dxa"/>
              <w:right w:w="160" w:type="dxa"/>
            </w:tcMar>
            <w:vAlign w:val="center"/>
          </w:tcPr>
          <w:p w14:paraId="3BD9A181">
            <w:pPr>
              <w:keepNext w:val="0"/>
              <w:keepLines w:val="0"/>
              <w:widowControl/>
              <w:suppressLineNumbers w:val="0"/>
              <w:snapToGrid w:val="0"/>
              <w:spacing w:line="250" w:lineRule="atLeast"/>
              <w:jc w:val="center"/>
              <w:rPr>
                <w:rFonts w:hint="eastAsia" w:ascii="仿宋" w:hAnsi="仿宋" w:eastAsia="仿宋" w:cs="仿宋"/>
                <w:b w:val="0"/>
                <w:color w:val="000000"/>
                <w:sz w:val="21"/>
                <w:szCs w:val="21"/>
              </w:rPr>
            </w:pPr>
            <w:r>
              <w:rPr>
                <w:rFonts w:hint="eastAsia" w:ascii="仿宋" w:hAnsi="仿宋" w:eastAsia="仿宋" w:cs="仿宋"/>
                <w:b w:val="0"/>
                <w:color w:val="000000"/>
                <w:kern w:val="0"/>
                <w:sz w:val="21"/>
                <w:szCs w:val="21"/>
                <w:lang w:val="en-US" w:eastAsia="zh-CN" w:bidi="ar"/>
              </w:rPr>
              <w:t>季度预防性巡检</w:t>
            </w:r>
          </w:p>
        </w:tc>
        <w:tc>
          <w:tcPr>
            <w:tcW w:w="1130" w:type="dxa"/>
            <w:tcBorders>
              <w:top w:val="single" w:color="000000" w:sz="4" w:space="0"/>
              <w:bottom w:val="single" w:color="000000" w:sz="4" w:space="0"/>
            </w:tcBorders>
            <w:shd w:val="clear" w:color="auto" w:fill="FFFFFF"/>
            <w:tcMar>
              <w:top w:w="100" w:type="dxa"/>
              <w:left w:w="160" w:type="dxa"/>
              <w:bottom w:w="100" w:type="dxa"/>
              <w:right w:w="160" w:type="dxa"/>
            </w:tcMar>
            <w:vAlign w:val="center"/>
          </w:tcPr>
          <w:p w14:paraId="6A553913">
            <w:pPr>
              <w:keepNext w:val="0"/>
              <w:keepLines w:val="0"/>
              <w:widowControl/>
              <w:suppressLineNumbers w:val="0"/>
              <w:snapToGrid w:val="0"/>
              <w:spacing w:line="250" w:lineRule="atLeast"/>
              <w:jc w:val="center"/>
              <w:rPr>
                <w:rFonts w:hint="eastAsia" w:ascii="仿宋" w:hAnsi="仿宋" w:eastAsia="仿宋" w:cs="仿宋"/>
                <w:b w:val="0"/>
                <w:color w:val="000000"/>
                <w:sz w:val="21"/>
                <w:szCs w:val="21"/>
              </w:rPr>
            </w:pPr>
            <w:r>
              <w:rPr>
                <w:rFonts w:hint="eastAsia" w:ascii="仿宋" w:hAnsi="仿宋" w:eastAsia="仿宋" w:cs="仿宋"/>
                <w:b w:val="0"/>
                <w:color w:val="000000"/>
                <w:kern w:val="0"/>
                <w:sz w:val="21"/>
                <w:szCs w:val="21"/>
                <w:lang w:val="en-US" w:eastAsia="zh-CN" w:bidi="ar"/>
              </w:rPr>
              <w:t>-</w:t>
            </w:r>
          </w:p>
        </w:tc>
        <w:tc>
          <w:tcPr>
            <w:tcW w:w="1870" w:type="dxa"/>
            <w:tcBorders>
              <w:top w:val="single" w:color="000000" w:sz="4" w:space="0"/>
              <w:bottom w:val="single" w:color="000000" w:sz="4" w:space="0"/>
            </w:tcBorders>
            <w:shd w:val="clear" w:color="auto" w:fill="FFFFFF"/>
            <w:tcMar>
              <w:top w:w="100" w:type="dxa"/>
              <w:left w:w="160" w:type="dxa"/>
              <w:bottom w:w="100" w:type="dxa"/>
              <w:right w:w="160" w:type="dxa"/>
            </w:tcMar>
            <w:vAlign w:val="center"/>
          </w:tcPr>
          <w:p w14:paraId="5EDEF5D9">
            <w:pPr>
              <w:keepNext w:val="0"/>
              <w:keepLines w:val="0"/>
              <w:widowControl/>
              <w:suppressLineNumbers w:val="0"/>
              <w:snapToGrid w:val="0"/>
              <w:spacing w:line="250" w:lineRule="atLeast"/>
              <w:jc w:val="center"/>
              <w:rPr>
                <w:rFonts w:hint="eastAsia" w:ascii="仿宋" w:hAnsi="仿宋" w:eastAsia="仿宋" w:cs="仿宋"/>
                <w:b w:val="0"/>
                <w:color w:val="000000"/>
                <w:sz w:val="21"/>
                <w:szCs w:val="21"/>
              </w:rPr>
            </w:pPr>
            <w:r>
              <w:rPr>
                <w:rFonts w:hint="eastAsia" w:ascii="仿宋" w:hAnsi="仿宋" w:eastAsia="仿宋" w:cs="仿宋"/>
                <w:b w:val="0"/>
                <w:color w:val="000000"/>
                <w:kern w:val="0"/>
                <w:sz w:val="21"/>
                <w:szCs w:val="21"/>
                <w:lang w:val="en-US" w:eastAsia="zh-CN" w:bidi="ar"/>
              </w:rPr>
              <w:t>每季度上门1次</w:t>
            </w:r>
          </w:p>
        </w:tc>
        <w:tc>
          <w:tcPr>
            <w:tcW w:w="1150" w:type="dxa"/>
            <w:tcBorders>
              <w:top w:val="single" w:color="000000" w:sz="4" w:space="0"/>
              <w:bottom w:val="single" w:color="000000" w:sz="4" w:space="0"/>
            </w:tcBorders>
            <w:shd w:val="clear" w:color="auto" w:fill="FFFFFF"/>
            <w:tcMar>
              <w:top w:w="100" w:type="dxa"/>
              <w:left w:w="160" w:type="dxa"/>
              <w:bottom w:w="100" w:type="dxa"/>
              <w:right w:w="0" w:type="dxa"/>
            </w:tcMar>
            <w:vAlign w:val="center"/>
          </w:tcPr>
          <w:p w14:paraId="246B490B">
            <w:pPr>
              <w:keepNext w:val="0"/>
              <w:keepLines w:val="0"/>
              <w:widowControl/>
              <w:suppressLineNumbers w:val="0"/>
              <w:snapToGrid w:val="0"/>
              <w:spacing w:line="250" w:lineRule="atLeast"/>
              <w:jc w:val="center"/>
              <w:rPr>
                <w:rFonts w:hint="eastAsia" w:ascii="仿宋" w:hAnsi="仿宋" w:eastAsia="仿宋" w:cs="仿宋"/>
                <w:b w:val="0"/>
                <w:color w:val="000000"/>
                <w:sz w:val="21"/>
                <w:szCs w:val="21"/>
              </w:rPr>
            </w:pPr>
            <w:r>
              <w:rPr>
                <w:rFonts w:hint="eastAsia" w:ascii="仿宋" w:hAnsi="仿宋" w:eastAsia="仿宋" w:cs="仿宋"/>
                <w:b w:val="0"/>
                <w:color w:val="000000"/>
                <w:kern w:val="0"/>
                <w:sz w:val="21"/>
                <w:szCs w:val="21"/>
                <w:lang w:val="en-US" w:eastAsia="zh-CN" w:bidi="ar"/>
              </w:rPr>
              <w:t>-</w:t>
            </w:r>
          </w:p>
        </w:tc>
      </w:tr>
    </w:tbl>
    <w:p w14:paraId="7BC8F2A6">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sz w:val="28"/>
          <w:szCs w:val="28"/>
        </w:rPr>
      </w:pPr>
      <w:r>
        <w:rPr>
          <w:rFonts w:hint="eastAsia" w:ascii="仿宋" w:hAnsi="仿宋" w:eastAsia="仿宋" w:cs="仿宋"/>
          <w:sz w:val="28"/>
          <w:szCs w:val="28"/>
        </w:rPr>
        <w:t>注：上门服务需提前与医院营养科及信息中心预约时间。</w:t>
      </w:r>
    </w:p>
    <w:p w14:paraId="46531D31">
      <w:pPr>
        <w:keepNext w:val="0"/>
        <w:keepLines w:val="0"/>
        <w:pageBreakBefore w:val="0"/>
        <w:widowControl w:val="0"/>
        <w:kinsoku/>
        <w:wordWrap/>
        <w:overflowPunct/>
        <w:topLinePunct w:val="0"/>
        <w:autoSpaceDE/>
        <w:autoSpaceDN/>
        <w:bidi w:val="0"/>
        <w:adjustRightInd/>
        <w:snapToGrid w:val="0"/>
        <w:spacing w:line="360" w:lineRule="auto"/>
        <w:ind w:firstLine="562" w:firstLineChars="200"/>
        <w:textAlignment w:val="auto"/>
        <w:rPr>
          <w:rFonts w:hint="eastAsia" w:ascii="仿宋" w:hAnsi="仿宋" w:eastAsia="仿宋" w:cs="仿宋"/>
          <w:b/>
          <w:bCs/>
          <w:sz w:val="28"/>
          <w:szCs w:val="28"/>
        </w:rPr>
      </w:pPr>
      <w:r>
        <w:rPr>
          <w:rFonts w:hint="eastAsia" w:ascii="仿宋" w:hAnsi="仿宋" w:eastAsia="仿宋" w:cs="仿宋"/>
          <w:b/>
          <w:bCs/>
          <w:sz w:val="28"/>
          <w:szCs w:val="28"/>
        </w:rPr>
        <w:t xml:space="preserve"> （2）软件系统运维要求</w:t>
      </w:r>
    </w:p>
    <w:p w14:paraId="267A2E2D">
      <w:pPr>
        <w:keepNext w:val="0"/>
        <w:keepLines w:val="0"/>
        <w:pageBreakBefore w:val="0"/>
        <w:widowControl w:val="0"/>
        <w:kinsoku/>
        <w:wordWrap/>
        <w:overflowPunct/>
        <w:topLinePunct w:val="0"/>
        <w:autoSpaceDE/>
        <w:autoSpaceDN/>
        <w:bidi w:val="0"/>
        <w:adjustRightInd/>
        <w:snapToGrid w:val="0"/>
        <w:spacing w:line="360" w:lineRule="auto"/>
        <w:ind w:firstLine="562" w:firstLineChars="200"/>
        <w:textAlignment w:val="auto"/>
        <w:rPr>
          <w:rFonts w:hint="eastAsia" w:ascii="仿宋" w:hAnsi="仿宋" w:eastAsia="仿宋" w:cs="仿宋"/>
          <w:b/>
          <w:bCs/>
          <w:sz w:val="28"/>
          <w:szCs w:val="28"/>
        </w:rPr>
      </w:pPr>
      <w:r>
        <w:rPr>
          <w:rFonts w:hint="eastAsia" w:ascii="仿宋" w:hAnsi="仿宋" w:eastAsia="仿宋" w:cs="仿宋"/>
          <w:b/>
          <w:bCs/>
          <w:sz w:val="28"/>
          <w:szCs w:val="28"/>
        </w:rPr>
        <w:t>1）住院营养管理系统</w:t>
      </w:r>
    </w:p>
    <w:p w14:paraId="28409A28">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① 营养风险筛查模块：定期检查NRS-2002等标准量表的电子化评分逻辑准确性，确保筛查问卷自动触发机制正常运行，校验风险分级阈值配置。</w:t>
      </w:r>
    </w:p>
    <w:p w14:paraId="3DC7E8F2">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② 营养评估与诊断模块：定期校验营养评估报告自动生成逻辑，确保患者基本信息、诊断信息、检验数据、人体测量数据的准确调用与计算。</w:t>
      </w:r>
    </w:p>
    <w:p w14:paraId="089A9DF0">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③ 营养干预方案管理模块：定期检查营养处方（肠内营养、肠外营养、治疗膳食）的电子化开具、审批、执行与效果监测流程，确保业务闭环正常运行。</w:t>
      </w:r>
    </w:p>
    <w:p w14:paraId="08A3FBE2">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④ 会诊管理模块：定期检查临床科室向营养科发起营养会诊申请的在线化流程，确保会诊闭环管理功能正常。</w:t>
      </w:r>
    </w:p>
    <w:p w14:paraId="69FF3878">
      <w:pPr>
        <w:keepNext w:val="0"/>
        <w:keepLines w:val="0"/>
        <w:pageBreakBefore w:val="0"/>
        <w:widowControl w:val="0"/>
        <w:kinsoku/>
        <w:wordWrap/>
        <w:overflowPunct/>
        <w:topLinePunct w:val="0"/>
        <w:autoSpaceDE/>
        <w:autoSpaceDN/>
        <w:bidi w:val="0"/>
        <w:adjustRightInd/>
        <w:snapToGrid w:val="0"/>
        <w:spacing w:line="360" w:lineRule="auto"/>
        <w:ind w:firstLine="562" w:firstLineChars="200"/>
        <w:textAlignment w:val="auto"/>
        <w:rPr>
          <w:rFonts w:hint="eastAsia" w:ascii="仿宋" w:hAnsi="仿宋" w:eastAsia="仿宋" w:cs="仿宋"/>
          <w:b/>
          <w:bCs/>
          <w:sz w:val="28"/>
          <w:szCs w:val="28"/>
        </w:rPr>
      </w:pPr>
      <w:r>
        <w:rPr>
          <w:rFonts w:hint="eastAsia" w:ascii="仿宋" w:hAnsi="仿宋" w:eastAsia="仿宋" w:cs="仿宋"/>
          <w:b/>
          <w:bCs/>
          <w:sz w:val="28"/>
          <w:szCs w:val="28"/>
        </w:rPr>
        <w:t>2）门诊营养诊疗系统</w:t>
      </w:r>
    </w:p>
    <w:p w14:paraId="222DF209">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① 定期检查门诊患者的营养咨询、营养评估、膳食指导等服务流程信息化管理功能。</w:t>
      </w:r>
    </w:p>
    <w:p w14:paraId="474D6730">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② 确保门诊与住院营养诊疗数据的互联互通，支持患者营养档案的统一管理。</w:t>
      </w:r>
    </w:p>
    <w:p w14:paraId="7125D86C">
      <w:pPr>
        <w:keepNext w:val="0"/>
        <w:keepLines w:val="0"/>
        <w:pageBreakBefore w:val="0"/>
        <w:widowControl w:val="0"/>
        <w:kinsoku/>
        <w:wordWrap/>
        <w:overflowPunct/>
        <w:topLinePunct w:val="0"/>
        <w:autoSpaceDE/>
        <w:autoSpaceDN/>
        <w:bidi w:val="0"/>
        <w:adjustRightInd/>
        <w:snapToGrid w:val="0"/>
        <w:spacing w:line="360" w:lineRule="auto"/>
        <w:ind w:firstLine="562" w:firstLineChars="200"/>
        <w:textAlignment w:val="auto"/>
        <w:rPr>
          <w:rFonts w:hint="eastAsia" w:ascii="仿宋" w:hAnsi="仿宋" w:eastAsia="仿宋" w:cs="仿宋"/>
          <w:b/>
          <w:bCs/>
          <w:sz w:val="28"/>
          <w:szCs w:val="28"/>
        </w:rPr>
      </w:pPr>
      <w:r>
        <w:rPr>
          <w:rFonts w:hint="eastAsia" w:ascii="仿宋" w:hAnsi="仿宋" w:eastAsia="仿宋" w:cs="仿宋"/>
          <w:b/>
          <w:bCs/>
          <w:sz w:val="28"/>
          <w:szCs w:val="28"/>
        </w:rPr>
        <w:t>3）营养库存与配制管理系统</w:t>
      </w:r>
    </w:p>
    <w:p w14:paraId="2254907B">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① 定期检查营养制剂入库、出库、盘点、效期管理等库存管理功能。</w:t>
      </w:r>
    </w:p>
    <w:p w14:paraId="4EF60339">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② 定期校验与HIS医嘱系统的对接，确保营养配制指令的自动接收和配制执行记录准确无误。</w:t>
      </w:r>
    </w:p>
    <w:p w14:paraId="0613DCC3">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③ 定期检查库存预警阈值配置，确保低库存、近效期产品自动提醒功能正常。</w:t>
      </w:r>
    </w:p>
    <w:p w14:paraId="67E0BD11">
      <w:pPr>
        <w:keepNext w:val="0"/>
        <w:keepLines w:val="0"/>
        <w:pageBreakBefore w:val="0"/>
        <w:widowControl w:val="0"/>
        <w:kinsoku/>
        <w:wordWrap/>
        <w:overflowPunct/>
        <w:topLinePunct w:val="0"/>
        <w:autoSpaceDE/>
        <w:autoSpaceDN/>
        <w:bidi w:val="0"/>
        <w:adjustRightInd/>
        <w:snapToGrid w:val="0"/>
        <w:spacing w:line="360" w:lineRule="auto"/>
        <w:ind w:firstLine="562" w:firstLineChars="200"/>
        <w:textAlignment w:val="auto"/>
        <w:rPr>
          <w:rFonts w:hint="eastAsia" w:ascii="仿宋" w:hAnsi="仿宋" w:eastAsia="仿宋" w:cs="仿宋"/>
          <w:b/>
          <w:bCs/>
          <w:sz w:val="28"/>
          <w:szCs w:val="28"/>
        </w:rPr>
      </w:pPr>
      <w:r>
        <w:rPr>
          <w:rFonts w:hint="eastAsia" w:ascii="仿宋" w:hAnsi="仿宋" w:eastAsia="仿宋" w:cs="仿宋"/>
          <w:b/>
          <w:bCs/>
          <w:sz w:val="28"/>
          <w:szCs w:val="28"/>
        </w:rPr>
        <w:t>4）营养数据分析与决策支持系统</w:t>
      </w:r>
    </w:p>
    <w:p w14:paraId="5E8D6D4A">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① 定期检查营养诊疗数据的统计分析、报表生成、质量控制指标监测等功能。</w:t>
      </w:r>
    </w:p>
    <w:p w14:paraId="7C974A2A">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② 定期校验数据抽取、清洗、汇总逻辑，确保上报数据的准确性和完整性。</w:t>
      </w:r>
    </w:p>
    <w:p w14:paraId="54C899A1">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③ 配合医院完成营养相关数据的标准化输出和共享交换。</w:t>
      </w:r>
    </w:p>
    <w:p w14:paraId="44E3BF31">
      <w:pPr>
        <w:keepNext w:val="0"/>
        <w:keepLines w:val="0"/>
        <w:pageBreakBefore w:val="0"/>
        <w:widowControl w:val="0"/>
        <w:kinsoku/>
        <w:wordWrap/>
        <w:overflowPunct/>
        <w:topLinePunct w:val="0"/>
        <w:autoSpaceDE/>
        <w:autoSpaceDN/>
        <w:bidi w:val="0"/>
        <w:adjustRightInd/>
        <w:snapToGrid w:val="0"/>
        <w:spacing w:line="360" w:lineRule="auto"/>
        <w:ind w:firstLine="562" w:firstLineChars="200"/>
        <w:textAlignment w:val="auto"/>
        <w:rPr>
          <w:rFonts w:hint="eastAsia" w:ascii="仿宋" w:hAnsi="仿宋" w:eastAsia="仿宋" w:cs="仿宋"/>
          <w:b/>
          <w:bCs/>
          <w:sz w:val="28"/>
          <w:szCs w:val="28"/>
        </w:rPr>
      </w:pPr>
      <w:r>
        <w:rPr>
          <w:rFonts w:hint="eastAsia" w:ascii="仿宋" w:hAnsi="仿宋" w:eastAsia="仿宋" w:cs="仿宋"/>
          <w:b/>
          <w:bCs/>
          <w:sz w:val="28"/>
          <w:szCs w:val="28"/>
        </w:rPr>
        <w:t>5）系统集成接口</w:t>
      </w:r>
    </w:p>
    <w:p w14:paraId="1DEEF219">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① 定期检查与HIS（患者基本信息、医嘱信息）、LIS（检验结果数据）、EMR（诊断信息、病历数据）的数据接口运行状态。</w:t>
      </w:r>
    </w:p>
    <w:p w14:paraId="7ECC8784">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② 医院接口变更时免费提供调试、适配技术支持。</w:t>
      </w:r>
    </w:p>
    <w:p w14:paraId="64B577EE">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③ 定期配合医院数据集成平台完成接口联调，确保系统间数据互通正常。</w:t>
      </w:r>
    </w:p>
    <w:p w14:paraId="498CDD40">
      <w:pPr>
        <w:keepNext w:val="0"/>
        <w:keepLines w:val="0"/>
        <w:pageBreakBefore w:val="0"/>
        <w:widowControl w:val="0"/>
        <w:kinsoku/>
        <w:wordWrap/>
        <w:overflowPunct/>
        <w:topLinePunct w:val="0"/>
        <w:autoSpaceDE/>
        <w:autoSpaceDN/>
        <w:bidi w:val="0"/>
        <w:adjustRightInd/>
        <w:snapToGrid w:val="0"/>
        <w:spacing w:line="360" w:lineRule="auto"/>
        <w:ind w:firstLine="562" w:firstLineChars="200"/>
        <w:textAlignment w:val="auto"/>
        <w:rPr>
          <w:rFonts w:hint="eastAsia" w:ascii="仿宋" w:hAnsi="仿宋" w:eastAsia="仿宋" w:cs="仿宋"/>
          <w:sz w:val="28"/>
          <w:szCs w:val="28"/>
        </w:rPr>
      </w:pPr>
      <w:r>
        <w:rPr>
          <w:rFonts w:hint="eastAsia" w:ascii="仿宋" w:hAnsi="仿宋" w:eastAsia="仿宋" w:cs="仿宋"/>
          <w:b/>
          <w:bCs/>
          <w:sz w:val="28"/>
          <w:szCs w:val="28"/>
        </w:rPr>
        <w:t xml:space="preserve"> （3）业务流程专项保障</w:t>
      </w:r>
    </w:p>
    <w:p w14:paraId="68D14CD8">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针对以下业务提供持续的运行环境维护、故障排查修复及数据备份支持：</w:t>
      </w:r>
    </w:p>
    <w:p w14:paraId="791C53F6">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① 住院患者营养风险筛查业务【最高优先级】</w:t>
      </w:r>
    </w:p>
    <w:p w14:paraId="0E3B4443">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② 营养评估与诊断业务</w:t>
      </w:r>
    </w:p>
    <w:p w14:paraId="1ECABB3D">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③ 营养干预方案制定与执行业务</w:t>
      </w:r>
    </w:p>
    <w:p w14:paraId="5FE8D3E1">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④ 营养会诊业务</w:t>
      </w:r>
    </w:p>
    <w:p w14:paraId="3BA6EEFD">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⑤ 营养库存与配制管理业务</w:t>
      </w:r>
    </w:p>
    <w:p w14:paraId="080F4B47">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⑥ 营养数据分析与上报业务</w:t>
      </w:r>
    </w:p>
    <w:p w14:paraId="0394F363">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营养风险筛查高峰期、三级医院评审迎检、营养质控数据上报等业务高峰节点提供现场驻场保障，杜绝业务中断。</w:t>
      </w:r>
    </w:p>
    <w:p w14:paraId="75CB1546">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b/>
          <w:bCs/>
          <w:sz w:val="28"/>
          <w:szCs w:val="28"/>
        </w:rPr>
        <w:t>（4）系统安全防护服务</w:t>
      </w:r>
    </w:p>
    <w:p w14:paraId="247BA333">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运维方须具备基于Java/C/Vue等技术栈的源代码级维护能力，能够进行：</w:t>
      </w:r>
    </w:p>
    <w:p w14:paraId="2CB9A410">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① 落实等保三级安全规范，实时监测操作系统、数据库、应用代码安全漏洞，提供漏洞检测、风险处置支撑、漏洞修复及安全补丁更新；</w:t>
      </w:r>
    </w:p>
    <w:p w14:paraId="1AFD5F69">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② 因浏览器/操作系统升级引起的页面兼容性调整；</w:t>
      </w:r>
    </w:p>
    <w:p w14:paraId="172DA829">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③ 数据库连接池优化及SQL性能调优；</w:t>
      </w:r>
    </w:p>
    <w:p w14:paraId="23555DFA">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④ 配合医院完成商用密码应用安全性评估相关工作。</w:t>
      </w:r>
    </w:p>
    <w:p w14:paraId="2B322DB3">
      <w:pPr>
        <w:keepNext w:val="0"/>
        <w:keepLines w:val="0"/>
        <w:pageBreakBefore w:val="0"/>
        <w:widowControl w:val="0"/>
        <w:kinsoku/>
        <w:wordWrap/>
        <w:overflowPunct/>
        <w:topLinePunct w:val="0"/>
        <w:autoSpaceDE/>
        <w:autoSpaceDN/>
        <w:bidi w:val="0"/>
        <w:adjustRightInd/>
        <w:snapToGrid w:val="0"/>
        <w:spacing w:line="360" w:lineRule="auto"/>
        <w:ind w:firstLine="562" w:firstLineChars="200"/>
        <w:textAlignment w:val="auto"/>
        <w:rPr>
          <w:rFonts w:hint="eastAsia" w:ascii="仿宋" w:hAnsi="仿宋" w:eastAsia="仿宋" w:cs="仿宋"/>
          <w:sz w:val="28"/>
          <w:szCs w:val="28"/>
        </w:rPr>
      </w:pPr>
      <w:r>
        <w:rPr>
          <w:rFonts w:hint="eastAsia" w:ascii="仿宋" w:hAnsi="仿宋" w:eastAsia="仿宋" w:cs="仿宋"/>
          <w:b/>
          <w:bCs/>
          <w:sz w:val="28"/>
          <w:szCs w:val="28"/>
        </w:rPr>
        <w:t xml:space="preserve"> （5）接口运维服务</w:t>
      </w:r>
    </w:p>
    <w:p w14:paraId="7926D20D">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配合医院完成与各系统间的数据接口联调，确保系统间数据互通正常。医院接口变更时免费提供调试、适配技术支持。接口范围包括但不限于：HIS系统、LIS系统、EMR系统、医院数据集成平台、统一身份认证平台、医院移动工作平台（如企业微信/钉钉）。</w:t>
      </w:r>
    </w:p>
    <w:p w14:paraId="74366CF0">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b/>
          <w:bCs/>
          <w:sz w:val="28"/>
          <w:szCs w:val="28"/>
        </w:rPr>
        <w:t>（6）数据安全与备份</w:t>
      </w:r>
    </w:p>
    <w:p w14:paraId="6EA23AC2">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数据库：协助医院信息科制定备份策略（每日增量+每周全量），本地备份数据保存30天，异地备份数据保存180天；系统恢复时间目标（RTO）≤4小时，恢复点目标（RPO）≤24小时。</w:t>
      </w:r>
    </w:p>
    <w:p w14:paraId="466CF517">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营养诊疗数据：定期提供数据导出校验及备份服务，确保营养筛查、评估、干预等核心数据的完整性和安全性。</w:t>
      </w:r>
    </w:p>
    <w:p w14:paraId="6701BDC4">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数据保密：签署《数据安全保密协议》，严禁远程运维时非法拷贝或外泄患者营养诊疗数据、个人信息。</w:t>
      </w:r>
    </w:p>
    <w:p w14:paraId="66C12307">
      <w:pPr>
        <w:keepNext w:val="0"/>
        <w:keepLines w:val="0"/>
        <w:pageBreakBefore w:val="0"/>
        <w:widowControl w:val="0"/>
        <w:kinsoku/>
        <w:wordWrap/>
        <w:overflowPunct/>
        <w:topLinePunct w:val="0"/>
        <w:autoSpaceDE/>
        <w:autoSpaceDN/>
        <w:bidi w:val="0"/>
        <w:adjustRightInd/>
        <w:snapToGrid w:val="0"/>
        <w:spacing w:line="360" w:lineRule="auto"/>
        <w:ind w:firstLine="562" w:firstLineChars="200"/>
        <w:textAlignment w:val="auto"/>
        <w:rPr>
          <w:rFonts w:hint="eastAsia" w:ascii="仿宋" w:hAnsi="仿宋" w:eastAsia="仿宋" w:cs="仿宋"/>
          <w:sz w:val="28"/>
          <w:szCs w:val="28"/>
        </w:rPr>
      </w:pPr>
      <w:r>
        <w:rPr>
          <w:rFonts w:hint="eastAsia" w:ascii="仿宋" w:hAnsi="仿宋" w:eastAsia="仿宋" w:cs="仿宋"/>
          <w:b/>
          <w:bCs/>
          <w:sz w:val="28"/>
          <w:szCs w:val="28"/>
        </w:rPr>
        <w:t xml:space="preserve"> （7）全流程应急保障</w:t>
      </w:r>
    </w:p>
    <w:p w14:paraId="73FF962C">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建立分级故障处置机制，针对系统卡顿、数据丢失、系统宕机等突发场景制定应急预案，定期开展应急演练。</w:t>
      </w:r>
    </w:p>
    <w:p w14:paraId="5C39C667">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 xml:space="preserve"> 3. 系统覆盖业务范围</w:t>
      </w:r>
    </w:p>
    <w:p w14:paraId="5E656EEC">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运维覆盖系统五大核心模块：住院营养管理系统、门诊营养诊疗系统、营养库存与配制管理系统、营养数据分析与决策支持系统、系统集成接口；支撑全院住院患者营养风险筛查（每年约11万人次）、营养评估与诊断（每年约3万人次）、营养干预方案制定与管理（每年约2万人次）全流程业务。</w:t>
      </w:r>
    </w:p>
    <w:p w14:paraId="0151EC45">
      <w:pPr>
        <w:keepNext w:val="0"/>
        <w:keepLines w:val="0"/>
        <w:pageBreakBefore w:val="0"/>
        <w:widowControl w:val="0"/>
        <w:kinsoku/>
        <w:wordWrap/>
        <w:overflowPunct/>
        <w:topLinePunct w:val="0"/>
        <w:autoSpaceDE/>
        <w:autoSpaceDN/>
        <w:bidi w:val="0"/>
        <w:adjustRightInd/>
        <w:snapToGrid w:val="0"/>
        <w:spacing w:line="360" w:lineRule="auto"/>
        <w:ind w:firstLine="562" w:firstLineChars="200"/>
        <w:textAlignment w:val="auto"/>
        <w:rPr>
          <w:rFonts w:hint="eastAsia" w:ascii="仿宋" w:hAnsi="仿宋" w:eastAsia="仿宋" w:cs="仿宋"/>
          <w:b/>
          <w:bCs/>
          <w:sz w:val="28"/>
          <w:szCs w:val="28"/>
        </w:rPr>
      </w:pPr>
      <w:r>
        <w:rPr>
          <w:rFonts w:hint="eastAsia" w:ascii="仿宋" w:hAnsi="仿宋" w:eastAsia="仿宋" w:cs="仿宋"/>
          <w:b/>
          <w:bCs/>
          <w:sz w:val="28"/>
          <w:szCs w:val="28"/>
        </w:rPr>
        <w:t xml:space="preserve"> 4. 政府采购政策落实要求</w:t>
      </w:r>
    </w:p>
    <w:p w14:paraId="3130510E">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（1）本项目不属于专门面向中小企业采购的项目。</w:t>
      </w:r>
    </w:p>
    <w:p w14:paraId="19C4C33D">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（2）本项目需要落实的政府采购政策：《政府采购促进中小企业发展管理办法》（财库〔2020〕46号）、《关于进一步加大政府采购支持中小企业力度的通知》（财库〔2022〕19号）、《财政部 民政部 中国残疾人联合会关于促进残疾人就业政府采购政策的通知》（财库〔2017〕141号）、《关于政府采购支持监狱企业发展有关问题的通知》（财库〔2014〕68号）、《关于印发环境标志产品政府采购品目清单的通知》（财库〔2019〕18号）、《关于印发节能产品政府采购品目清单的通知》（财库〔2019〕19号）、《财政部 发展改革委 生态环境部 市场监管总局 关于调整优化节能产品、环境标志产品政府采购执行机制的通知》（财库〔2019〕9号）等，本项目小微企业价格扣除优惠比例：10%。</w:t>
      </w:r>
    </w:p>
    <w:p w14:paraId="13395A84">
      <w:pPr>
        <w:keepNext w:val="0"/>
        <w:keepLines w:val="0"/>
        <w:pageBreakBefore w:val="0"/>
        <w:widowControl w:val="0"/>
        <w:kinsoku/>
        <w:wordWrap/>
        <w:overflowPunct/>
        <w:topLinePunct w:val="0"/>
        <w:autoSpaceDE/>
        <w:autoSpaceDN/>
        <w:bidi w:val="0"/>
        <w:adjustRightInd/>
        <w:snapToGrid w:val="0"/>
        <w:spacing w:line="360" w:lineRule="auto"/>
        <w:ind w:firstLine="562" w:firstLineChars="200"/>
        <w:textAlignment w:val="auto"/>
        <w:rPr>
          <w:rFonts w:hint="eastAsia" w:ascii="仿宋" w:hAnsi="仿宋" w:eastAsia="仿宋" w:cs="仿宋"/>
          <w:b/>
          <w:bCs/>
          <w:sz w:val="28"/>
          <w:szCs w:val="28"/>
        </w:rPr>
      </w:pPr>
    </w:p>
    <w:p w14:paraId="1286DB3B">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b/>
          <w:bCs/>
          <w:sz w:val="28"/>
          <w:szCs w:val="28"/>
        </w:rPr>
      </w:pPr>
      <w:r>
        <w:rPr>
          <w:rFonts w:hint="eastAsia" w:ascii="仿宋" w:hAnsi="仿宋" w:eastAsia="仿宋" w:cs="仿宋"/>
          <w:b/>
          <w:bCs/>
          <w:sz w:val="28"/>
          <w:szCs w:val="28"/>
        </w:rPr>
        <w:t>（二）采购标的需执行的国家相关标准、行业标准、地方标准或者其他标准、规范</w:t>
      </w:r>
    </w:p>
    <w:p w14:paraId="24C52142">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按照《中华人民共和国政府采购法》《中华人民共和国政府采购法实施条例》、《政府采购货物和服务招投标管理办法（财政部令第87号）》等有关规定及相关行业、地方或其他现行标准、规范执行。系统建设达到《网络安全等级保护基本要求（GB/T 22239-2019）》标准。同时应符合以下标准规范：</w:t>
      </w:r>
    </w:p>
    <w:p w14:paraId="0EAFA80D">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1. 《“健康中国2030”规划纲要》</w:t>
      </w:r>
    </w:p>
    <w:p w14:paraId="668900CA">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2. 《国民营养计划（2017-2030年）》（国办发〔2017〕60号）</w:t>
      </w:r>
    </w:p>
    <w:p w14:paraId="6DD230BE">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3. 《云南省“十四五”医疗卫生服务体系规划》</w:t>
      </w:r>
    </w:p>
    <w:p w14:paraId="17DF00D9">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4. 《三级医院评审标准（2022年版）》及其实施细则</w:t>
      </w:r>
    </w:p>
    <w:p w14:paraId="4CDFC8E2">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5. 《关于进一步完善医疗卫生服务体系的意见》（2023年）</w:t>
      </w:r>
    </w:p>
    <w:p w14:paraId="1770652B">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6. 《医疗机构临床营养科建设与管理指南》</w:t>
      </w:r>
    </w:p>
    <w:p w14:paraId="7DE73933">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7. 《信息安全技术 网络安全等级保护基本要求》（GB/T 22239-2019）</w:t>
      </w:r>
    </w:p>
    <w:p w14:paraId="0C02768F">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8. 国家卫生健康委临床营养数据元标准</w:t>
      </w:r>
    </w:p>
    <w:p w14:paraId="6DFC883F">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9. 商用密码应用安全性评估相关标准规范</w:t>
      </w:r>
    </w:p>
    <w:p w14:paraId="682973B9">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sz w:val="28"/>
          <w:szCs w:val="28"/>
        </w:rPr>
      </w:pPr>
      <w:r>
        <w:rPr>
          <w:rFonts w:hint="eastAsia" w:ascii="仿宋" w:hAnsi="仿宋" w:eastAsia="仿宋" w:cs="仿宋"/>
          <w:b/>
          <w:bCs/>
          <w:sz w:val="28"/>
          <w:szCs w:val="28"/>
        </w:rPr>
        <w:t>（三）采购标的需满足的质量、安全、技术规格、物理特性等要求</w:t>
      </w:r>
    </w:p>
    <w:p w14:paraId="5229340F">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系统建设过程中，应注重各类数据的标准化、规范化，技术服务实现的功能必须满足用户的需求，质量达到现行合格标准，符合国家、行业、地方规定的质量和安全标准要求，满足国家对计算机信息化系统的规定和国家标准，在质保期内，因国家政策的变动，应满足医院需求功能。</w:t>
      </w:r>
    </w:p>
    <w:p w14:paraId="0FD95C88">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1.性能需求：系统并发用户数支持≥500人；页面平均响应时间≤3秒；复杂查询响应时间≤5秒；系统可用性≥99.5%。</w:t>
      </w:r>
    </w:p>
    <w:p w14:paraId="157A8874">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2.可维护与可扩展性：系统采用模块化架构，支持功能模块的独立升级和扩展；支持与未来新增业务系统的集成对接。</w:t>
      </w:r>
    </w:p>
    <w:p w14:paraId="4C011144">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3.可靠性需求：系统具备故障自动恢复能力；关键数据每日自动备份；支持7×24小时稳定运行。</w:t>
      </w:r>
    </w:p>
    <w:p w14:paraId="3A59DBEF">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4.易用性需求：界面设计符合医疗业务操作习惯；支持常用功能的快捷操作；提供完整的用户操作手册和在线帮助。</w:t>
      </w:r>
    </w:p>
    <w:p w14:paraId="6BD39B95">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5.安全需求：系统需满足GB/T 22239-2019《信息安全技术 网络安全等级保护基本要求》的相关技术要求，拟按照等保三级要求进行定级、备案、测评与整改。患者营养数据在传输和存储过程中采用加密措施；建立严格的访问控制策略，实现数据分级分类管理；明确数据删除机制和流程。</w:t>
      </w:r>
    </w:p>
    <w:p w14:paraId="6377C44D">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b/>
          <w:bCs/>
          <w:sz w:val="28"/>
          <w:szCs w:val="28"/>
        </w:rPr>
      </w:pPr>
    </w:p>
    <w:p w14:paraId="0E3155F0">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sz w:val="28"/>
          <w:szCs w:val="28"/>
        </w:rPr>
      </w:pPr>
      <w:r>
        <w:rPr>
          <w:rFonts w:hint="eastAsia" w:ascii="仿宋" w:hAnsi="仿宋" w:eastAsia="仿宋" w:cs="仿宋"/>
          <w:b/>
          <w:bCs/>
          <w:sz w:val="28"/>
          <w:szCs w:val="28"/>
        </w:rPr>
        <w:t>（四）采购标的的数量、采购项目交付或者实施的时间和地点</w:t>
      </w:r>
    </w:p>
    <w:p w14:paraId="34EF6C19">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运维服务；交货地点：云南省第一人民医院用户指定地点。</w:t>
      </w:r>
    </w:p>
    <w:p w14:paraId="09CFD6EA">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服务期限：3年，自合同签订之日起。</w:t>
      </w:r>
    </w:p>
    <w:p w14:paraId="200C7F31">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服务范围：住院营养管理系统、门诊营养诊疗系统、营养库存与配制管理系统、营养数据分析与决策支持系统、系统集成接口等模块的运维服务，以及必要的网络安全等级保护测评服务、商用密码应用安全性评估服务、验收测评服务及数据处理运营服务。</w:t>
      </w:r>
    </w:p>
    <w:p w14:paraId="59FCE2B4">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sz w:val="28"/>
          <w:szCs w:val="28"/>
        </w:rPr>
      </w:pPr>
    </w:p>
    <w:p w14:paraId="484D87B9">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sz w:val="28"/>
          <w:szCs w:val="28"/>
        </w:rPr>
      </w:pPr>
      <w:r>
        <w:rPr>
          <w:rFonts w:hint="eastAsia" w:ascii="仿宋" w:hAnsi="仿宋" w:eastAsia="仿宋" w:cs="仿宋"/>
          <w:b/>
          <w:bCs/>
          <w:sz w:val="28"/>
          <w:szCs w:val="28"/>
        </w:rPr>
        <w:t>（五）采购标的需满足的服务标准、期限、效率等要求</w:t>
      </w:r>
    </w:p>
    <w:p w14:paraId="3F9A39F6">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中标人须提供3年的运维服务期限，自合同签订之日起，完成本项目相关的调研、运维服务。免费提供操作及维护培训（需提供具体培训内容），按医院要求完成服务。</w:t>
      </w:r>
    </w:p>
    <w:p w14:paraId="3FF33C4A">
      <w:pPr>
        <w:keepNext w:val="0"/>
        <w:keepLines w:val="0"/>
        <w:pageBreakBefore w:val="0"/>
        <w:widowControl w:val="0"/>
        <w:kinsoku/>
        <w:wordWrap/>
        <w:overflowPunct/>
        <w:topLinePunct w:val="0"/>
        <w:autoSpaceDE/>
        <w:autoSpaceDN/>
        <w:bidi w:val="0"/>
        <w:adjustRightInd/>
        <w:snapToGrid w:val="0"/>
        <w:spacing w:line="360" w:lineRule="auto"/>
        <w:ind w:firstLine="562" w:firstLineChars="200"/>
        <w:textAlignment w:val="auto"/>
        <w:rPr>
          <w:rFonts w:hint="eastAsia" w:ascii="仿宋" w:hAnsi="仿宋" w:eastAsia="仿宋" w:cs="仿宋"/>
          <w:b/>
          <w:bCs/>
          <w:sz w:val="28"/>
          <w:szCs w:val="28"/>
        </w:rPr>
      </w:pPr>
      <w:r>
        <w:rPr>
          <w:rFonts w:hint="eastAsia" w:ascii="仿宋" w:hAnsi="仿宋" w:eastAsia="仿宋" w:cs="仿宋"/>
          <w:b/>
          <w:bCs/>
          <w:sz w:val="28"/>
          <w:szCs w:val="28"/>
        </w:rPr>
        <w:t xml:space="preserve"> 1. 资质要求</w:t>
      </w:r>
    </w:p>
    <w:p w14:paraId="7A6BE776">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(1) 投标人须具备医疗器械经营许可证（二类/三类）或医疗器械维修资质，或具备临床营养信息化软件系统的合法运维服务资质。</w:t>
      </w:r>
    </w:p>
    <w:p w14:paraId="01D8AB4D">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(2) 具备ISO 9001质量管理体系及ISO 13485医疗器械质量管理体系认证优先。</w:t>
      </w:r>
    </w:p>
    <w:p w14:paraId="24598F23">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(3) 投标人须书面承诺具备本项目定制软件（营养诊疗软件系统，含源代码）的合法维护能力；如非原厂商，须提供源代码合法授权维护证明或具备同等技术能力的详细说明（需加盖公章）。</w:t>
      </w:r>
    </w:p>
    <w:p w14:paraId="37303CCF">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(4) 团队中至少包含1名网络工程师（HCIP/CCNP同级或以上）及1名数据库工程师（如Oracle OCP或MySQL OCP）。</w:t>
      </w:r>
    </w:p>
    <w:p w14:paraId="79515ABC">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(5) 为防止恶意低价竞标后服务缺失，若投标报价明显低于市场价，甲方有权要求其提供成本构成说明及项目负责人社保证明。投标人不得将本合同项下的服务工作转包或违法分包（提供承诺函）。</w:t>
      </w:r>
    </w:p>
    <w:p w14:paraId="2EBD9DE7">
      <w:pPr>
        <w:keepNext w:val="0"/>
        <w:keepLines w:val="0"/>
        <w:pageBreakBefore w:val="0"/>
        <w:widowControl w:val="0"/>
        <w:kinsoku/>
        <w:wordWrap/>
        <w:overflowPunct/>
        <w:topLinePunct w:val="0"/>
        <w:autoSpaceDE/>
        <w:autoSpaceDN/>
        <w:bidi w:val="0"/>
        <w:adjustRightInd/>
        <w:snapToGrid w:val="0"/>
        <w:spacing w:line="360" w:lineRule="auto"/>
        <w:ind w:firstLine="562" w:firstLineChars="200"/>
        <w:textAlignment w:val="auto"/>
        <w:rPr>
          <w:rFonts w:hint="eastAsia" w:ascii="仿宋" w:hAnsi="仿宋" w:eastAsia="仿宋" w:cs="仿宋"/>
          <w:b/>
          <w:bCs/>
          <w:sz w:val="28"/>
          <w:szCs w:val="28"/>
        </w:rPr>
      </w:pPr>
      <w:r>
        <w:rPr>
          <w:rFonts w:hint="eastAsia" w:ascii="仿宋" w:hAnsi="仿宋" w:eastAsia="仿宋" w:cs="仿宋"/>
          <w:b/>
          <w:bCs/>
          <w:sz w:val="28"/>
          <w:szCs w:val="28"/>
        </w:rPr>
        <w:t xml:space="preserve"> 2. 服务响应效率</w:t>
      </w:r>
    </w:p>
    <w:tbl>
      <w:tblPr>
        <w:tblStyle w:val="2"/>
        <w:tblW w:w="968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1610"/>
        <w:gridCol w:w="3920"/>
        <w:gridCol w:w="1130"/>
        <w:gridCol w:w="1870"/>
        <w:gridCol w:w="1150"/>
      </w:tblGrid>
      <w:tr w14:paraId="458F63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cantSplit/>
          <w:tblHeader/>
          <w:jc w:val="center"/>
        </w:trPr>
        <w:tc>
          <w:tcPr>
            <w:tcW w:w="1610" w:type="dxa"/>
            <w:tcBorders>
              <w:top w:val="single" w:color="000000" w:sz="4" w:space="0"/>
              <w:bottom w:val="single" w:color="000000" w:sz="4" w:space="0"/>
              <w:tl2br w:val="nil"/>
            </w:tcBorders>
            <w:shd w:val="clear" w:color="auto" w:fill="FFFFFF"/>
            <w:tcMar>
              <w:top w:w="100" w:type="dxa"/>
              <w:left w:w="0" w:type="dxa"/>
              <w:bottom w:w="100" w:type="dxa"/>
              <w:right w:w="160" w:type="dxa"/>
            </w:tcMar>
            <w:vAlign w:val="center"/>
          </w:tcPr>
          <w:p w14:paraId="0940304E">
            <w:pPr>
              <w:keepNext w:val="0"/>
              <w:keepLines w:val="0"/>
              <w:widowControl/>
              <w:suppressLineNumbers w:val="0"/>
              <w:spacing w:line="250" w:lineRule="atLeast"/>
              <w:jc w:val="center"/>
              <w:rPr>
                <w:rFonts w:hint="eastAsia" w:ascii="仿宋" w:hAnsi="仿宋" w:eastAsia="仿宋" w:cs="仿宋"/>
                <w:b w:val="0"/>
                <w:color w:val="000000"/>
                <w:sz w:val="21"/>
                <w:szCs w:val="21"/>
              </w:rPr>
            </w:pPr>
            <w:r>
              <w:rPr>
                <w:rFonts w:hint="eastAsia" w:ascii="仿宋" w:hAnsi="仿宋" w:eastAsia="仿宋" w:cs="仿宋"/>
                <w:b w:val="0"/>
                <w:color w:val="000000"/>
                <w:kern w:val="0"/>
                <w:sz w:val="21"/>
                <w:szCs w:val="21"/>
                <w:lang w:val="en-US" w:eastAsia="zh-CN" w:bidi="ar"/>
              </w:rPr>
              <w:t>故障级别</w:t>
            </w:r>
          </w:p>
        </w:tc>
        <w:tc>
          <w:tcPr>
            <w:tcW w:w="3920" w:type="dxa"/>
            <w:tcBorders>
              <w:top w:val="single" w:color="000000" w:sz="4" w:space="0"/>
              <w:bottom w:val="single" w:color="000000" w:sz="4" w:space="0"/>
            </w:tcBorders>
            <w:shd w:val="clear" w:color="auto" w:fill="FFFFFF"/>
            <w:tcMar>
              <w:top w:w="100" w:type="dxa"/>
              <w:left w:w="160" w:type="dxa"/>
              <w:bottom w:w="100" w:type="dxa"/>
              <w:right w:w="160" w:type="dxa"/>
            </w:tcMar>
            <w:vAlign w:val="center"/>
          </w:tcPr>
          <w:p w14:paraId="0A778405">
            <w:pPr>
              <w:keepNext w:val="0"/>
              <w:keepLines w:val="0"/>
              <w:widowControl/>
              <w:suppressLineNumbers w:val="0"/>
              <w:spacing w:line="250" w:lineRule="atLeast"/>
              <w:jc w:val="center"/>
              <w:rPr>
                <w:rFonts w:hint="eastAsia" w:ascii="仿宋" w:hAnsi="仿宋" w:eastAsia="仿宋" w:cs="仿宋"/>
                <w:b w:val="0"/>
                <w:color w:val="000000"/>
                <w:sz w:val="21"/>
                <w:szCs w:val="21"/>
              </w:rPr>
            </w:pPr>
            <w:r>
              <w:rPr>
                <w:rFonts w:hint="eastAsia" w:ascii="仿宋" w:hAnsi="仿宋" w:eastAsia="仿宋" w:cs="仿宋"/>
                <w:b w:val="0"/>
                <w:color w:val="000000"/>
                <w:kern w:val="0"/>
                <w:sz w:val="21"/>
                <w:szCs w:val="21"/>
                <w:lang w:val="en-US" w:eastAsia="zh-CN" w:bidi="ar"/>
              </w:rPr>
              <w:t>定义</w:t>
            </w:r>
          </w:p>
        </w:tc>
        <w:tc>
          <w:tcPr>
            <w:tcW w:w="1130" w:type="dxa"/>
            <w:tcBorders>
              <w:top w:val="single" w:color="000000" w:sz="4" w:space="0"/>
              <w:bottom w:val="single" w:color="000000" w:sz="4" w:space="0"/>
            </w:tcBorders>
            <w:shd w:val="clear" w:color="auto" w:fill="FFFFFF"/>
            <w:tcMar>
              <w:top w:w="100" w:type="dxa"/>
              <w:left w:w="160" w:type="dxa"/>
              <w:bottom w:w="100" w:type="dxa"/>
              <w:right w:w="160" w:type="dxa"/>
            </w:tcMar>
            <w:vAlign w:val="center"/>
          </w:tcPr>
          <w:p w14:paraId="6C02C7C0">
            <w:pPr>
              <w:keepNext w:val="0"/>
              <w:keepLines w:val="0"/>
              <w:widowControl/>
              <w:suppressLineNumbers w:val="0"/>
              <w:spacing w:line="250" w:lineRule="atLeast"/>
              <w:jc w:val="center"/>
              <w:rPr>
                <w:rFonts w:hint="eastAsia" w:ascii="仿宋" w:hAnsi="仿宋" w:eastAsia="仿宋" w:cs="仿宋"/>
                <w:b w:val="0"/>
                <w:color w:val="000000"/>
                <w:sz w:val="21"/>
                <w:szCs w:val="21"/>
              </w:rPr>
            </w:pPr>
            <w:r>
              <w:rPr>
                <w:rFonts w:hint="eastAsia" w:ascii="仿宋" w:hAnsi="仿宋" w:eastAsia="仿宋" w:cs="仿宋"/>
                <w:b w:val="0"/>
                <w:color w:val="000000"/>
                <w:kern w:val="0"/>
                <w:sz w:val="21"/>
                <w:szCs w:val="21"/>
                <w:lang w:val="en-US" w:eastAsia="zh-CN" w:bidi="ar"/>
              </w:rPr>
              <w:t>远程响应</w:t>
            </w:r>
          </w:p>
        </w:tc>
        <w:tc>
          <w:tcPr>
            <w:tcW w:w="1870" w:type="dxa"/>
            <w:tcBorders>
              <w:top w:val="single" w:color="000000" w:sz="4" w:space="0"/>
              <w:bottom w:val="single" w:color="000000" w:sz="4" w:space="0"/>
            </w:tcBorders>
            <w:shd w:val="clear" w:color="auto" w:fill="FFFFFF"/>
            <w:tcMar>
              <w:top w:w="100" w:type="dxa"/>
              <w:left w:w="160" w:type="dxa"/>
              <w:bottom w:w="100" w:type="dxa"/>
              <w:right w:w="160" w:type="dxa"/>
            </w:tcMar>
            <w:vAlign w:val="center"/>
          </w:tcPr>
          <w:p w14:paraId="7D93D153">
            <w:pPr>
              <w:keepNext w:val="0"/>
              <w:keepLines w:val="0"/>
              <w:widowControl/>
              <w:suppressLineNumbers w:val="0"/>
              <w:spacing w:line="250" w:lineRule="atLeast"/>
              <w:jc w:val="center"/>
              <w:rPr>
                <w:rFonts w:hint="eastAsia" w:ascii="仿宋" w:hAnsi="仿宋" w:eastAsia="仿宋" w:cs="仿宋"/>
                <w:b w:val="0"/>
                <w:color w:val="000000"/>
                <w:sz w:val="21"/>
                <w:szCs w:val="21"/>
              </w:rPr>
            </w:pPr>
            <w:r>
              <w:rPr>
                <w:rFonts w:hint="eastAsia" w:ascii="仿宋" w:hAnsi="仿宋" w:eastAsia="仿宋" w:cs="仿宋"/>
                <w:b w:val="0"/>
                <w:color w:val="000000"/>
                <w:kern w:val="0"/>
                <w:sz w:val="21"/>
                <w:szCs w:val="21"/>
                <w:lang w:val="en-US" w:eastAsia="zh-CN" w:bidi="ar"/>
              </w:rPr>
              <w:t>上门响应（到达现场）</w:t>
            </w:r>
          </w:p>
        </w:tc>
        <w:tc>
          <w:tcPr>
            <w:tcW w:w="1150" w:type="dxa"/>
            <w:tcBorders>
              <w:top w:val="single" w:color="000000" w:sz="4" w:space="0"/>
              <w:bottom w:val="single" w:color="000000" w:sz="4" w:space="0"/>
            </w:tcBorders>
            <w:shd w:val="clear" w:color="auto" w:fill="FFFFFF"/>
            <w:tcMar>
              <w:top w:w="100" w:type="dxa"/>
              <w:left w:w="160" w:type="dxa"/>
              <w:bottom w:w="100" w:type="dxa"/>
              <w:right w:w="160" w:type="dxa"/>
            </w:tcMar>
            <w:vAlign w:val="center"/>
          </w:tcPr>
          <w:p w14:paraId="6570AC5D">
            <w:pPr>
              <w:keepNext w:val="0"/>
              <w:keepLines w:val="0"/>
              <w:widowControl/>
              <w:suppressLineNumbers w:val="0"/>
              <w:spacing w:line="250" w:lineRule="atLeast"/>
              <w:jc w:val="center"/>
              <w:rPr>
                <w:rFonts w:hint="eastAsia" w:ascii="仿宋" w:hAnsi="仿宋" w:eastAsia="仿宋" w:cs="仿宋"/>
                <w:b w:val="0"/>
                <w:color w:val="000000"/>
                <w:sz w:val="21"/>
                <w:szCs w:val="21"/>
              </w:rPr>
            </w:pPr>
            <w:r>
              <w:rPr>
                <w:rFonts w:hint="eastAsia" w:ascii="仿宋" w:hAnsi="仿宋" w:eastAsia="仿宋" w:cs="仿宋"/>
                <w:b w:val="0"/>
                <w:color w:val="000000"/>
                <w:kern w:val="0"/>
                <w:sz w:val="21"/>
                <w:szCs w:val="21"/>
                <w:lang w:val="en-US" w:eastAsia="zh-CN" w:bidi="ar"/>
              </w:rPr>
              <w:t>修复时限</w:t>
            </w:r>
          </w:p>
        </w:tc>
      </w:tr>
      <w:tr w14:paraId="55537D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cantSplit/>
          <w:jc w:val="center"/>
        </w:trPr>
        <w:tc>
          <w:tcPr>
            <w:tcW w:w="1610" w:type="dxa"/>
            <w:tcBorders>
              <w:top w:val="single" w:color="000000" w:sz="4" w:space="0"/>
              <w:bottom w:val="single" w:color="000000" w:sz="4" w:space="0"/>
            </w:tcBorders>
            <w:shd w:val="clear" w:color="auto" w:fill="FFFFFF"/>
            <w:tcMar>
              <w:top w:w="100" w:type="dxa"/>
              <w:left w:w="0" w:type="dxa"/>
              <w:bottom w:w="100" w:type="dxa"/>
              <w:right w:w="160" w:type="dxa"/>
            </w:tcMar>
            <w:vAlign w:val="center"/>
          </w:tcPr>
          <w:p w14:paraId="48EC1D5D">
            <w:pPr>
              <w:keepNext w:val="0"/>
              <w:keepLines w:val="0"/>
              <w:widowControl/>
              <w:suppressLineNumbers w:val="0"/>
              <w:spacing w:line="250" w:lineRule="atLeast"/>
              <w:jc w:val="center"/>
              <w:rPr>
                <w:rFonts w:hint="eastAsia" w:ascii="仿宋" w:hAnsi="仿宋" w:eastAsia="仿宋" w:cs="仿宋"/>
                <w:b w:val="0"/>
                <w:color w:val="000000"/>
                <w:sz w:val="21"/>
                <w:szCs w:val="21"/>
              </w:rPr>
            </w:pPr>
            <w:r>
              <w:rPr>
                <w:rFonts w:hint="eastAsia" w:ascii="仿宋" w:hAnsi="仿宋" w:eastAsia="仿宋" w:cs="仿宋"/>
                <w:b w:val="0"/>
                <w:bCs/>
                <w:color w:val="000000"/>
                <w:kern w:val="0"/>
                <w:sz w:val="21"/>
                <w:szCs w:val="21"/>
                <w:lang w:val="en-US" w:eastAsia="zh-CN" w:bidi="ar"/>
              </w:rPr>
              <w:t>P1（紧急）</w:t>
            </w:r>
          </w:p>
        </w:tc>
        <w:tc>
          <w:tcPr>
            <w:tcW w:w="3920" w:type="dxa"/>
            <w:tcBorders>
              <w:top w:val="single" w:color="000000" w:sz="4" w:space="0"/>
              <w:bottom w:val="single" w:color="000000" w:sz="4" w:space="0"/>
            </w:tcBorders>
            <w:shd w:val="clear" w:color="auto" w:fill="FFFFFF"/>
            <w:tcMar>
              <w:top w:w="100" w:type="dxa"/>
              <w:left w:w="160" w:type="dxa"/>
              <w:bottom w:w="100" w:type="dxa"/>
              <w:right w:w="160" w:type="dxa"/>
            </w:tcMar>
            <w:vAlign w:val="center"/>
          </w:tcPr>
          <w:p w14:paraId="009FA584">
            <w:pPr>
              <w:keepNext w:val="0"/>
              <w:keepLines w:val="0"/>
              <w:widowControl/>
              <w:suppressLineNumbers w:val="0"/>
              <w:spacing w:line="250" w:lineRule="atLeast"/>
              <w:jc w:val="center"/>
              <w:rPr>
                <w:rFonts w:hint="eastAsia" w:ascii="仿宋" w:hAnsi="仿宋" w:eastAsia="仿宋" w:cs="仿宋"/>
                <w:b w:val="0"/>
                <w:color w:val="000000"/>
                <w:sz w:val="21"/>
                <w:szCs w:val="21"/>
              </w:rPr>
            </w:pPr>
            <w:r>
              <w:rPr>
                <w:rFonts w:hint="eastAsia" w:ascii="仿宋" w:hAnsi="仿宋" w:eastAsia="仿宋" w:cs="仿宋"/>
                <w:b w:val="0"/>
                <w:color w:val="000000"/>
                <w:kern w:val="0"/>
                <w:sz w:val="21"/>
                <w:szCs w:val="21"/>
                <w:lang w:val="en-US" w:eastAsia="zh-CN" w:bidi="ar"/>
              </w:rPr>
              <w:t>OSCE考试系统崩溃、核心服务器宕机、大面积教学设备瘫痪</w:t>
            </w:r>
          </w:p>
        </w:tc>
        <w:tc>
          <w:tcPr>
            <w:tcW w:w="1130" w:type="dxa"/>
            <w:tcBorders>
              <w:top w:val="single" w:color="000000" w:sz="4" w:space="0"/>
              <w:bottom w:val="single" w:color="000000" w:sz="4" w:space="0"/>
            </w:tcBorders>
            <w:shd w:val="clear" w:color="auto" w:fill="FFFFFF"/>
            <w:tcMar>
              <w:top w:w="100" w:type="dxa"/>
              <w:left w:w="160" w:type="dxa"/>
              <w:bottom w:w="100" w:type="dxa"/>
              <w:right w:w="160" w:type="dxa"/>
            </w:tcMar>
            <w:vAlign w:val="center"/>
          </w:tcPr>
          <w:p w14:paraId="3A513925">
            <w:pPr>
              <w:keepNext w:val="0"/>
              <w:keepLines w:val="0"/>
              <w:widowControl/>
              <w:suppressLineNumbers w:val="0"/>
              <w:spacing w:line="250" w:lineRule="atLeast"/>
              <w:jc w:val="center"/>
              <w:rPr>
                <w:rFonts w:hint="eastAsia" w:ascii="仿宋" w:hAnsi="仿宋" w:eastAsia="仿宋" w:cs="仿宋"/>
                <w:b w:val="0"/>
                <w:color w:val="000000"/>
                <w:sz w:val="21"/>
                <w:szCs w:val="21"/>
              </w:rPr>
            </w:pPr>
            <w:r>
              <w:rPr>
                <w:rFonts w:hint="eastAsia" w:ascii="仿宋" w:hAnsi="仿宋" w:eastAsia="仿宋" w:cs="仿宋"/>
                <w:b w:val="0"/>
                <w:color w:val="000000"/>
                <w:kern w:val="0"/>
                <w:sz w:val="21"/>
                <w:szCs w:val="21"/>
                <w:lang w:val="en-US" w:eastAsia="zh-CN" w:bidi="ar"/>
              </w:rPr>
              <w:t>≤10分钟</w:t>
            </w:r>
          </w:p>
        </w:tc>
        <w:tc>
          <w:tcPr>
            <w:tcW w:w="1870" w:type="dxa"/>
            <w:tcBorders>
              <w:top w:val="single" w:color="000000" w:sz="4" w:space="0"/>
              <w:bottom w:val="single" w:color="000000" w:sz="4" w:space="0"/>
            </w:tcBorders>
            <w:shd w:val="clear" w:color="auto" w:fill="FFFFFF"/>
            <w:tcMar>
              <w:top w:w="100" w:type="dxa"/>
              <w:left w:w="160" w:type="dxa"/>
              <w:bottom w:w="100" w:type="dxa"/>
              <w:right w:w="160" w:type="dxa"/>
            </w:tcMar>
            <w:vAlign w:val="center"/>
          </w:tcPr>
          <w:p w14:paraId="76122719">
            <w:pPr>
              <w:keepNext w:val="0"/>
              <w:keepLines w:val="0"/>
              <w:widowControl/>
              <w:suppressLineNumbers w:val="0"/>
              <w:spacing w:line="250" w:lineRule="atLeast"/>
              <w:jc w:val="center"/>
              <w:rPr>
                <w:rFonts w:hint="eastAsia" w:ascii="仿宋" w:hAnsi="仿宋" w:eastAsia="仿宋" w:cs="仿宋"/>
                <w:b w:val="0"/>
                <w:color w:val="000000"/>
                <w:sz w:val="21"/>
                <w:szCs w:val="21"/>
              </w:rPr>
            </w:pPr>
            <w:r>
              <w:rPr>
                <w:rFonts w:hint="eastAsia" w:ascii="仿宋" w:hAnsi="仿宋" w:eastAsia="仿宋" w:cs="仿宋"/>
                <w:b w:val="0"/>
                <w:color w:val="000000"/>
                <w:kern w:val="0"/>
                <w:sz w:val="21"/>
                <w:szCs w:val="21"/>
                <w:lang w:val="en-US" w:eastAsia="zh-CN" w:bidi="ar"/>
              </w:rPr>
              <w:t>≤3小时</w:t>
            </w:r>
          </w:p>
        </w:tc>
        <w:tc>
          <w:tcPr>
            <w:tcW w:w="1150" w:type="dxa"/>
            <w:tcBorders>
              <w:top w:val="single" w:color="000000" w:sz="4" w:space="0"/>
              <w:bottom w:val="single" w:color="000000" w:sz="4" w:space="0"/>
            </w:tcBorders>
            <w:shd w:val="clear" w:color="auto" w:fill="FFFFFF"/>
            <w:tcMar>
              <w:top w:w="100" w:type="dxa"/>
              <w:left w:w="160" w:type="dxa"/>
              <w:bottom w:w="100" w:type="dxa"/>
              <w:right w:w="0" w:type="dxa"/>
            </w:tcMar>
            <w:vAlign w:val="center"/>
          </w:tcPr>
          <w:p w14:paraId="570552AC">
            <w:pPr>
              <w:keepNext w:val="0"/>
              <w:keepLines w:val="0"/>
              <w:widowControl/>
              <w:suppressLineNumbers w:val="0"/>
              <w:spacing w:line="250" w:lineRule="atLeast"/>
              <w:jc w:val="center"/>
              <w:rPr>
                <w:rFonts w:hint="eastAsia" w:ascii="仿宋" w:hAnsi="仿宋" w:eastAsia="仿宋" w:cs="仿宋"/>
                <w:b w:val="0"/>
                <w:color w:val="000000"/>
                <w:sz w:val="21"/>
                <w:szCs w:val="21"/>
              </w:rPr>
            </w:pPr>
            <w:r>
              <w:rPr>
                <w:rFonts w:hint="eastAsia" w:ascii="仿宋" w:hAnsi="仿宋" w:eastAsia="仿宋" w:cs="仿宋"/>
                <w:b w:val="0"/>
                <w:color w:val="000000"/>
                <w:kern w:val="0"/>
                <w:sz w:val="21"/>
                <w:szCs w:val="21"/>
                <w:lang w:val="en-US" w:eastAsia="zh-CN" w:bidi="ar"/>
              </w:rPr>
              <w:t>≤4小时</w:t>
            </w:r>
          </w:p>
        </w:tc>
      </w:tr>
      <w:tr w14:paraId="4B9E00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cantSplit/>
          <w:jc w:val="center"/>
        </w:trPr>
        <w:tc>
          <w:tcPr>
            <w:tcW w:w="1610" w:type="dxa"/>
            <w:tcBorders>
              <w:top w:val="single" w:color="000000" w:sz="4" w:space="0"/>
              <w:bottom w:val="single" w:color="000000" w:sz="4" w:space="0"/>
            </w:tcBorders>
            <w:shd w:val="clear" w:color="auto" w:fill="FFFFFF"/>
            <w:tcMar>
              <w:top w:w="100" w:type="dxa"/>
              <w:left w:w="0" w:type="dxa"/>
              <w:bottom w:w="100" w:type="dxa"/>
              <w:right w:w="160" w:type="dxa"/>
            </w:tcMar>
            <w:vAlign w:val="center"/>
          </w:tcPr>
          <w:p w14:paraId="77F6685F">
            <w:pPr>
              <w:keepNext w:val="0"/>
              <w:keepLines w:val="0"/>
              <w:widowControl/>
              <w:suppressLineNumbers w:val="0"/>
              <w:spacing w:line="250" w:lineRule="atLeast"/>
              <w:jc w:val="center"/>
              <w:rPr>
                <w:rFonts w:hint="eastAsia" w:ascii="仿宋" w:hAnsi="仿宋" w:eastAsia="仿宋" w:cs="仿宋"/>
                <w:b w:val="0"/>
                <w:color w:val="000000"/>
                <w:sz w:val="21"/>
                <w:szCs w:val="21"/>
              </w:rPr>
            </w:pPr>
            <w:r>
              <w:rPr>
                <w:rFonts w:hint="eastAsia" w:ascii="仿宋" w:hAnsi="仿宋" w:eastAsia="仿宋" w:cs="仿宋"/>
                <w:b w:val="0"/>
                <w:bCs/>
                <w:color w:val="000000"/>
                <w:kern w:val="0"/>
                <w:sz w:val="21"/>
                <w:szCs w:val="21"/>
                <w:lang w:val="en-US" w:eastAsia="zh-CN" w:bidi="ar"/>
              </w:rPr>
              <w:t>P2（严重）</w:t>
            </w:r>
          </w:p>
        </w:tc>
        <w:tc>
          <w:tcPr>
            <w:tcW w:w="3920" w:type="dxa"/>
            <w:tcBorders>
              <w:top w:val="single" w:color="000000" w:sz="4" w:space="0"/>
              <w:bottom w:val="single" w:color="000000" w:sz="4" w:space="0"/>
            </w:tcBorders>
            <w:shd w:val="clear" w:color="auto" w:fill="FFFFFF"/>
            <w:tcMar>
              <w:top w:w="100" w:type="dxa"/>
              <w:left w:w="160" w:type="dxa"/>
              <w:bottom w:w="100" w:type="dxa"/>
              <w:right w:w="160" w:type="dxa"/>
            </w:tcMar>
            <w:vAlign w:val="center"/>
          </w:tcPr>
          <w:p w14:paraId="780EB58A">
            <w:pPr>
              <w:keepNext w:val="0"/>
              <w:keepLines w:val="0"/>
              <w:widowControl/>
              <w:suppressLineNumbers w:val="0"/>
              <w:spacing w:line="250" w:lineRule="atLeast"/>
              <w:jc w:val="center"/>
              <w:rPr>
                <w:rFonts w:hint="eastAsia" w:ascii="仿宋" w:hAnsi="仿宋" w:eastAsia="仿宋" w:cs="仿宋"/>
                <w:b w:val="0"/>
                <w:color w:val="000000"/>
                <w:sz w:val="21"/>
                <w:szCs w:val="21"/>
              </w:rPr>
            </w:pPr>
            <w:r>
              <w:rPr>
                <w:rFonts w:hint="eastAsia" w:ascii="仿宋" w:hAnsi="仿宋" w:eastAsia="仿宋" w:cs="仿宋"/>
                <w:b w:val="0"/>
                <w:color w:val="000000"/>
                <w:kern w:val="0"/>
                <w:sz w:val="21"/>
                <w:szCs w:val="21"/>
                <w:lang w:val="en-US" w:eastAsia="zh-CN" w:bidi="ar"/>
              </w:rPr>
              <w:t>单套训练系统无法使用、投影/音频故障影响单间教室授课、网络局部中断</w:t>
            </w:r>
          </w:p>
        </w:tc>
        <w:tc>
          <w:tcPr>
            <w:tcW w:w="1130" w:type="dxa"/>
            <w:tcBorders>
              <w:top w:val="single" w:color="000000" w:sz="4" w:space="0"/>
              <w:bottom w:val="single" w:color="000000" w:sz="4" w:space="0"/>
            </w:tcBorders>
            <w:shd w:val="clear" w:color="auto" w:fill="FFFFFF"/>
            <w:tcMar>
              <w:top w:w="100" w:type="dxa"/>
              <w:left w:w="160" w:type="dxa"/>
              <w:bottom w:w="100" w:type="dxa"/>
              <w:right w:w="160" w:type="dxa"/>
            </w:tcMar>
            <w:vAlign w:val="center"/>
          </w:tcPr>
          <w:p w14:paraId="438FF957">
            <w:pPr>
              <w:keepNext w:val="0"/>
              <w:keepLines w:val="0"/>
              <w:widowControl/>
              <w:suppressLineNumbers w:val="0"/>
              <w:spacing w:line="250" w:lineRule="atLeast"/>
              <w:jc w:val="center"/>
              <w:rPr>
                <w:rFonts w:hint="eastAsia" w:ascii="仿宋" w:hAnsi="仿宋" w:eastAsia="仿宋" w:cs="仿宋"/>
                <w:b w:val="0"/>
                <w:color w:val="000000"/>
                <w:sz w:val="21"/>
                <w:szCs w:val="21"/>
              </w:rPr>
            </w:pPr>
            <w:r>
              <w:rPr>
                <w:rFonts w:hint="eastAsia" w:ascii="仿宋" w:hAnsi="仿宋" w:eastAsia="仿宋" w:cs="仿宋"/>
                <w:b w:val="0"/>
                <w:color w:val="000000"/>
                <w:kern w:val="0"/>
                <w:sz w:val="21"/>
                <w:szCs w:val="21"/>
                <w:lang w:val="en-US" w:eastAsia="zh-CN" w:bidi="ar"/>
              </w:rPr>
              <w:t>≤15分钟</w:t>
            </w:r>
          </w:p>
        </w:tc>
        <w:tc>
          <w:tcPr>
            <w:tcW w:w="1870" w:type="dxa"/>
            <w:tcBorders>
              <w:top w:val="single" w:color="000000" w:sz="4" w:space="0"/>
              <w:bottom w:val="single" w:color="000000" w:sz="4" w:space="0"/>
            </w:tcBorders>
            <w:shd w:val="clear" w:color="auto" w:fill="FFFFFF"/>
            <w:tcMar>
              <w:top w:w="100" w:type="dxa"/>
              <w:left w:w="160" w:type="dxa"/>
              <w:bottom w:w="100" w:type="dxa"/>
              <w:right w:w="160" w:type="dxa"/>
            </w:tcMar>
            <w:vAlign w:val="center"/>
          </w:tcPr>
          <w:p w14:paraId="2F5BC303">
            <w:pPr>
              <w:keepNext w:val="0"/>
              <w:keepLines w:val="0"/>
              <w:widowControl/>
              <w:suppressLineNumbers w:val="0"/>
              <w:spacing w:line="250" w:lineRule="atLeast"/>
              <w:jc w:val="center"/>
              <w:rPr>
                <w:rFonts w:hint="eastAsia" w:ascii="仿宋" w:hAnsi="仿宋" w:eastAsia="仿宋" w:cs="仿宋"/>
                <w:b w:val="0"/>
                <w:color w:val="000000"/>
                <w:sz w:val="21"/>
                <w:szCs w:val="21"/>
              </w:rPr>
            </w:pPr>
            <w:r>
              <w:rPr>
                <w:rFonts w:hint="eastAsia" w:ascii="仿宋" w:hAnsi="仿宋" w:eastAsia="仿宋" w:cs="仿宋"/>
                <w:b w:val="0"/>
                <w:color w:val="000000"/>
                <w:kern w:val="0"/>
                <w:sz w:val="21"/>
                <w:szCs w:val="21"/>
                <w:lang w:val="en-US" w:eastAsia="zh-CN" w:bidi="ar"/>
              </w:rPr>
              <w:t>≤8小时</w:t>
            </w:r>
          </w:p>
        </w:tc>
        <w:tc>
          <w:tcPr>
            <w:tcW w:w="1150" w:type="dxa"/>
            <w:tcBorders>
              <w:top w:val="single" w:color="000000" w:sz="4" w:space="0"/>
              <w:bottom w:val="single" w:color="000000" w:sz="4" w:space="0"/>
            </w:tcBorders>
            <w:shd w:val="clear" w:color="auto" w:fill="FFFFFF"/>
            <w:tcMar>
              <w:top w:w="100" w:type="dxa"/>
              <w:left w:w="160" w:type="dxa"/>
              <w:bottom w:w="100" w:type="dxa"/>
              <w:right w:w="0" w:type="dxa"/>
            </w:tcMar>
            <w:vAlign w:val="center"/>
          </w:tcPr>
          <w:p w14:paraId="41EF995A">
            <w:pPr>
              <w:keepNext w:val="0"/>
              <w:keepLines w:val="0"/>
              <w:widowControl/>
              <w:suppressLineNumbers w:val="0"/>
              <w:spacing w:line="250" w:lineRule="atLeast"/>
              <w:jc w:val="center"/>
              <w:rPr>
                <w:rFonts w:hint="eastAsia" w:ascii="仿宋" w:hAnsi="仿宋" w:eastAsia="仿宋" w:cs="仿宋"/>
                <w:b w:val="0"/>
                <w:color w:val="000000"/>
                <w:sz w:val="21"/>
                <w:szCs w:val="21"/>
              </w:rPr>
            </w:pPr>
            <w:r>
              <w:rPr>
                <w:rFonts w:hint="eastAsia" w:ascii="仿宋" w:hAnsi="仿宋" w:eastAsia="仿宋" w:cs="仿宋"/>
                <w:b w:val="0"/>
                <w:color w:val="000000"/>
                <w:kern w:val="0"/>
                <w:sz w:val="21"/>
                <w:szCs w:val="21"/>
                <w:lang w:val="en-US" w:eastAsia="zh-CN" w:bidi="ar"/>
              </w:rPr>
              <w:t>≤24小时</w:t>
            </w:r>
          </w:p>
        </w:tc>
      </w:tr>
      <w:tr w14:paraId="1B84C7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cantSplit/>
          <w:jc w:val="center"/>
        </w:trPr>
        <w:tc>
          <w:tcPr>
            <w:tcW w:w="1610" w:type="dxa"/>
            <w:tcBorders>
              <w:top w:val="single" w:color="000000" w:sz="4" w:space="0"/>
              <w:bottom w:val="single" w:color="000000" w:sz="4" w:space="0"/>
            </w:tcBorders>
            <w:shd w:val="clear" w:color="auto" w:fill="FFFFFF"/>
            <w:tcMar>
              <w:top w:w="100" w:type="dxa"/>
              <w:left w:w="0" w:type="dxa"/>
              <w:bottom w:w="100" w:type="dxa"/>
              <w:right w:w="160" w:type="dxa"/>
            </w:tcMar>
            <w:vAlign w:val="center"/>
          </w:tcPr>
          <w:p w14:paraId="212652BB">
            <w:pPr>
              <w:keepNext w:val="0"/>
              <w:keepLines w:val="0"/>
              <w:widowControl/>
              <w:suppressLineNumbers w:val="0"/>
              <w:spacing w:line="250" w:lineRule="atLeast"/>
              <w:jc w:val="center"/>
              <w:rPr>
                <w:rFonts w:hint="eastAsia" w:ascii="仿宋" w:hAnsi="仿宋" w:eastAsia="仿宋" w:cs="仿宋"/>
                <w:b w:val="0"/>
                <w:color w:val="000000"/>
                <w:sz w:val="21"/>
                <w:szCs w:val="21"/>
              </w:rPr>
            </w:pPr>
            <w:r>
              <w:rPr>
                <w:rFonts w:hint="eastAsia" w:ascii="仿宋" w:hAnsi="仿宋" w:eastAsia="仿宋" w:cs="仿宋"/>
                <w:b w:val="0"/>
                <w:bCs/>
                <w:color w:val="000000"/>
                <w:kern w:val="0"/>
                <w:sz w:val="21"/>
                <w:szCs w:val="21"/>
                <w:lang w:val="en-US" w:eastAsia="zh-CN" w:bidi="ar"/>
              </w:rPr>
              <w:t>P3（一般）</w:t>
            </w:r>
          </w:p>
        </w:tc>
        <w:tc>
          <w:tcPr>
            <w:tcW w:w="3920" w:type="dxa"/>
            <w:tcBorders>
              <w:top w:val="single" w:color="000000" w:sz="4" w:space="0"/>
              <w:bottom w:val="single" w:color="000000" w:sz="4" w:space="0"/>
            </w:tcBorders>
            <w:shd w:val="clear" w:color="auto" w:fill="FFFFFF"/>
            <w:tcMar>
              <w:top w:w="100" w:type="dxa"/>
              <w:left w:w="160" w:type="dxa"/>
              <w:bottom w:w="100" w:type="dxa"/>
              <w:right w:w="160" w:type="dxa"/>
            </w:tcMar>
            <w:vAlign w:val="center"/>
          </w:tcPr>
          <w:p w14:paraId="3E51912D">
            <w:pPr>
              <w:keepNext w:val="0"/>
              <w:keepLines w:val="0"/>
              <w:widowControl/>
              <w:suppressLineNumbers w:val="0"/>
              <w:spacing w:line="250" w:lineRule="atLeast"/>
              <w:jc w:val="center"/>
              <w:rPr>
                <w:rFonts w:hint="eastAsia" w:ascii="仿宋" w:hAnsi="仿宋" w:eastAsia="仿宋" w:cs="仿宋"/>
                <w:b w:val="0"/>
                <w:color w:val="000000"/>
                <w:sz w:val="21"/>
                <w:szCs w:val="21"/>
              </w:rPr>
            </w:pPr>
            <w:r>
              <w:rPr>
                <w:rFonts w:hint="eastAsia" w:ascii="仿宋" w:hAnsi="仿宋" w:eastAsia="仿宋" w:cs="仿宋"/>
                <w:b w:val="0"/>
                <w:color w:val="000000"/>
                <w:kern w:val="0"/>
                <w:sz w:val="21"/>
                <w:szCs w:val="21"/>
                <w:lang w:val="en-US" w:eastAsia="zh-CN" w:bidi="ar"/>
              </w:rPr>
              <w:t>单台电脑/平板故障、个别门禁失效、软件操作卡顿</w:t>
            </w:r>
          </w:p>
        </w:tc>
        <w:tc>
          <w:tcPr>
            <w:tcW w:w="1130" w:type="dxa"/>
            <w:tcBorders>
              <w:top w:val="single" w:color="000000" w:sz="4" w:space="0"/>
              <w:bottom w:val="single" w:color="000000" w:sz="4" w:space="0"/>
            </w:tcBorders>
            <w:shd w:val="clear" w:color="auto" w:fill="FFFFFF"/>
            <w:tcMar>
              <w:top w:w="100" w:type="dxa"/>
              <w:left w:w="160" w:type="dxa"/>
              <w:bottom w:w="100" w:type="dxa"/>
              <w:right w:w="160" w:type="dxa"/>
            </w:tcMar>
            <w:vAlign w:val="center"/>
          </w:tcPr>
          <w:p w14:paraId="554CE9D4">
            <w:pPr>
              <w:keepNext w:val="0"/>
              <w:keepLines w:val="0"/>
              <w:widowControl/>
              <w:suppressLineNumbers w:val="0"/>
              <w:spacing w:line="250" w:lineRule="atLeast"/>
              <w:jc w:val="center"/>
              <w:rPr>
                <w:rFonts w:hint="eastAsia" w:ascii="仿宋" w:hAnsi="仿宋" w:eastAsia="仿宋" w:cs="仿宋"/>
                <w:b w:val="0"/>
                <w:color w:val="000000"/>
                <w:sz w:val="21"/>
                <w:szCs w:val="21"/>
              </w:rPr>
            </w:pPr>
            <w:r>
              <w:rPr>
                <w:rFonts w:hint="eastAsia" w:ascii="仿宋" w:hAnsi="仿宋" w:eastAsia="仿宋" w:cs="仿宋"/>
                <w:b w:val="0"/>
                <w:color w:val="000000"/>
                <w:kern w:val="0"/>
                <w:sz w:val="21"/>
                <w:szCs w:val="21"/>
                <w:lang w:val="en-US" w:eastAsia="zh-CN" w:bidi="ar"/>
              </w:rPr>
              <w:t>≤30小时</w:t>
            </w:r>
          </w:p>
        </w:tc>
        <w:tc>
          <w:tcPr>
            <w:tcW w:w="1870" w:type="dxa"/>
            <w:tcBorders>
              <w:top w:val="single" w:color="000000" w:sz="4" w:space="0"/>
              <w:bottom w:val="single" w:color="000000" w:sz="4" w:space="0"/>
            </w:tcBorders>
            <w:shd w:val="clear" w:color="auto" w:fill="FFFFFF"/>
            <w:tcMar>
              <w:top w:w="100" w:type="dxa"/>
              <w:left w:w="160" w:type="dxa"/>
              <w:bottom w:w="100" w:type="dxa"/>
              <w:right w:w="160" w:type="dxa"/>
            </w:tcMar>
            <w:vAlign w:val="center"/>
          </w:tcPr>
          <w:p w14:paraId="4D40ACC7">
            <w:pPr>
              <w:keepNext w:val="0"/>
              <w:keepLines w:val="0"/>
              <w:widowControl/>
              <w:suppressLineNumbers w:val="0"/>
              <w:spacing w:line="250" w:lineRule="atLeast"/>
              <w:jc w:val="center"/>
              <w:rPr>
                <w:rFonts w:hint="eastAsia" w:ascii="仿宋" w:hAnsi="仿宋" w:eastAsia="仿宋" w:cs="仿宋"/>
                <w:b w:val="0"/>
                <w:color w:val="000000"/>
                <w:sz w:val="21"/>
                <w:szCs w:val="21"/>
              </w:rPr>
            </w:pPr>
            <w:r>
              <w:rPr>
                <w:rFonts w:hint="eastAsia" w:ascii="仿宋" w:hAnsi="仿宋" w:eastAsia="仿宋" w:cs="仿宋"/>
                <w:b w:val="0"/>
                <w:color w:val="000000"/>
                <w:kern w:val="0"/>
                <w:sz w:val="21"/>
                <w:szCs w:val="21"/>
                <w:lang w:val="en-US" w:eastAsia="zh-CN" w:bidi="ar"/>
              </w:rPr>
              <w:t>≤24小时</w:t>
            </w:r>
          </w:p>
        </w:tc>
        <w:tc>
          <w:tcPr>
            <w:tcW w:w="1150" w:type="dxa"/>
            <w:tcBorders>
              <w:top w:val="single" w:color="000000" w:sz="4" w:space="0"/>
              <w:bottom w:val="single" w:color="000000" w:sz="4" w:space="0"/>
            </w:tcBorders>
            <w:shd w:val="clear" w:color="auto" w:fill="FFFFFF"/>
            <w:tcMar>
              <w:top w:w="100" w:type="dxa"/>
              <w:left w:w="160" w:type="dxa"/>
              <w:bottom w:w="100" w:type="dxa"/>
              <w:right w:w="0" w:type="dxa"/>
            </w:tcMar>
            <w:vAlign w:val="center"/>
          </w:tcPr>
          <w:p w14:paraId="2AB8663A">
            <w:pPr>
              <w:keepNext w:val="0"/>
              <w:keepLines w:val="0"/>
              <w:widowControl/>
              <w:suppressLineNumbers w:val="0"/>
              <w:spacing w:line="250" w:lineRule="atLeast"/>
              <w:jc w:val="center"/>
              <w:rPr>
                <w:rFonts w:hint="eastAsia" w:ascii="仿宋" w:hAnsi="仿宋" w:eastAsia="仿宋" w:cs="仿宋"/>
                <w:b w:val="0"/>
                <w:color w:val="000000"/>
                <w:sz w:val="21"/>
                <w:szCs w:val="21"/>
              </w:rPr>
            </w:pPr>
            <w:r>
              <w:rPr>
                <w:rFonts w:hint="eastAsia" w:ascii="仿宋" w:hAnsi="仿宋" w:eastAsia="仿宋" w:cs="仿宋"/>
                <w:b w:val="0"/>
                <w:color w:val="000000"/>
                <w:kern w:val="0"/>
                <w:sz w:val="21"/>
                <w:szCs w:val="21"/>
                <w:lang w:val="en-US" w:eastAsia="zh-CN" w:bidi="ar"/>
              </w:rPr>
              <w:t>≤72小时</w:t>
            </w:r>
          </w:p>
        </w:tc>
      </w:tr>
      <w:tr w14:paraId="4A8EC1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cantSplit/>
          <w:jc w:val="center"/>
        </w:trPr>
        <w:tc>
          <w:tcPr>
            <w:tcW w:w="1610" w:type="dxa"/>
            <w:tcBorders>
              <w:top w:val="single" w:color="000000" w:sz="4" w:space="0"/>
              <w:bottom w:val="single" w:color="000000" w:sz="4" w:space="0"/>
            </w:tcBorders>
            <w:shd w:val="clear" w:color="auto" w:fill="FFFFFF"/>
            <w:tcMar>
              <w:top w:w="100" w:type="dxa"/>
              <w:left w:w="0" w:type="dxa"/>
              <w:bottom w:w="100" w:type="dxa"/>
              <w:right w:w="160" w:type="dxa"/>
            </w:tcMar>
            <w:vAlign w:val="center"/>
          </w:tcPr>
          <w:p w14:paraId="1E081A6F">
            <w:pPr>
              <w:keepNext w:val="0"/>
              <w:keepLines w:val="0"/>
              <w:widowControl/>
              <w:suppressLineNumbers w:val="0"/>
              <w:spacing w:line="250" w:lineRule="atLeast"/>
              <w:jc w:val="center"/>
              <w:rPr>
                <w:rFonts w:hint="eastAsia" w:ascii="仿宋" w:hAnsi="仿宋" w:eastAsia="仿宋" w:cs="仿宋"/>
                <w:b w:val="0"/>
                <w:color w:val="000000"/>
                <w:sz w:val="21"/>
                <w:szCs w:val="21"/>
              </w:rPr>
            </w:pPr>
            <w:r>
              <w:rPr>
                <w:rFonts w:hint="eastAsia" w:ascii="仿宋" w:hAnsi="仿宋" w:eastAsia="仿宋" w:cs="仿宋"/>
                <w:b w:val="0"/>
                <w:bCs/>
                <w:color w:val="000000"/>
                <w:kern w:val="0"/>
                <w:sz w:val="21"/>
                <w:szCs w:val="21"/>
                <w:lang w:val="en-US" w:eastAsia="zh-CN" w:bidi="ar"/>
              </w:rPr>
              <w:t>巡检服务</w:t>
            </w:r>
          </w:p>
        </w:tc>
        <w:tc>
          <w:tcPr>
            <w:tcW w:w="3920" w:type="dxa"/>
            <w:tcBorders>
              <w:top w:val="single" w:color="000000" w:sz="4" w:space="0"/>
              <w:bottom w:val="single" w:color="000000" w:sz="4" w:space="0"/>
            </w:tcBorders>
            <w:shd w:val="clear" w:color="auto" w:fill="FFFFFF"/>
            <w:tcMar>
              <w:top w:w="100" w:type="dxa"/>
              <w:left w:w="160" w:type="dxa"/>
              <w:bottom w:w="100" w:type="dxa"/>
              <w:right w:w="160" w:type="dxa"/>
            </w:tcMar>
            <w:vAlign w:val="center"/>
          </w:tcPr>
          <w:p w14:paraId="260C2E90">
            <w:pPr>
              <w:keepNext w:val="0"/>
              <w:keepLines w:val="0"/>
              <w:widowControl/>
              <w:suppressLineNumbers w:val="0"/>
              <w:spacing w:line="250" w:lineRule="atLeast"/>
              <w:jc w:val="center"/>
              <w:rPr>
                <w:rFonts w:hint="eastAsia" w:ascii="仿宋" w:hAnsi="仿宋" w:eastAsia="仿宋" w:cs="仿宋"/>
                <w:b w:val="0"/>
                <w:color w:val="000000"/>
                <w:sz w:val="21"/>
                <w:szCs w:val="21"/>
              </w:rPr>
            </w:pPr>
            <w:r>
              <w:rPr>
                <w:rFonts w:hint="eastAsia" w:ascii="仿宋" w:hAnsi="仿宋" w:eastAsia="仿宋" w:cs="仿宋"/>
                <w:b w:val="0"/>
                <w:color w:val="000000"/>
                <w:kern w:val="0"/>
                <w:sz w:val="21"/>
                <w:szCs w:val="21"/>
                <w:lang w:val="en-US" w:eastAsia="zh-CN" w:bidi="ar"/>
              </w:rPr>
              <w:t>季度预防性巡检</w:t>
            </w:r>
          </w:p>
        </w:tc>
        <w:tc>
          <w:tcPr>
            <w:tcW w:w="1130" w:type="dxa"/>
            <w:tcBorders>
              <w:top w:val="single" w:color="000000" w:sz="4" w:space="0"/>
              <w:bottom w:val="single" w:color="000000" w:sz="4" w:space="0"/>
            </w:tcBorders>
            <w:shd w:val="clear" w:color="auto" w:fill="FFFFFF"/>
            <w:tcMar>
              <w:top w:w="100" w:type="dxa"/>
              <w:left w:w="160" w:type="dxa"/>
              <w:bottom w:w="100" w:type="dxa"/>
              <w:right w:w="160" w:type="dxa"/>
            </w:tcMar>
            <w:vAlign w:val="center"/>
          </w:tcPr>
          <w:p w14:paraId="1A376619">
            <w:pPr>
              <w:keepNext w:val="0"/>
              <w:keepLines w:val="0"/>
              <w:widowControl/>
              <w:suppressLineNumbers w:val="0"/>
              <w:spacing w:line="250" w:lineRule="atLeast"/>
              <w:jc w:val="center"/>
              <w:rPr>
                <w:rFonts w:hint="eastAsia" w:ascii="仿宋" w:hAnsi="仿宋" w:eastAsia="仿宋" w:cs="仿宋"/>
                <w:b w:val="0"/>
                <w:color w:val="000000"/>
                <w:sz w:val="21"/>
                <w:szCs w:val="21"/>
              </w:rPr>
            </w:pPr>
            <w:r>
              <w:rPr>
                <w:rFonts w:hint="eastAsia" w:ascii="仿宋" w:hAnsi="仿宋" w:eastAsia="仿宋" w:cs="仿宋"/>
                <w:b w:val="0"/>
                <w:color w:val="000000"/>
                <w:kern w:val="0"/>
                <w:sz w:val="21"/>
                <w:szCs w:val="21"/>
                <w:lang w:val="en-US" w:eastAsia="zh-CN" w:bidi="ar"/>
              </w:rPr>
              <w:t>-</w:t>
            </w:r>
          </w:p>
        </w:tc>
        <w:tc>
          <w:tcPr>
            <w:tcW w:w="1870" w:type="dxa"/>
            <w:tcBorders>
              <w:top w:val="single" w:color="000000" w:sz="4" w:space="0"/>
              <w:bottom w:val="single" w:color="000000" w:sz="4" w:space="0"/>
            </w:tcBorders>
            <w:shd w:val="clear" w:color="auto" w:fill="FFFFFF"/>
            <w:tcMar>
              <w:top w:w="100" w:type="dxa"/>
              <w:left w:w="160" w:type="dxa"/>
              <w:bottom w:w="100" w:type="dxa"/>
              <w:right w:w="160" w:type="dxa"/>
            </w:tcMar>
            <w:vAlign w:val="center"/>
          </w:tcPr>
          <w:p w14:paraId="16F2201B">
            <w:pPr>
              <w:keepNext w:val="0"/>
              <w:keepLines w:val="0"/>
              <w:widowControl/>
              <w:suppressLineNumbers w:val="0"/>
              <w:spacing w:line="250" w:lineRule="atLeast"/>
              <w:jc w:val="center"/>
              <w:rPr>
                <w:rFonts w:hint="eastAsia" w:ascii="仿宋" w:hAnsi="仿宋" w:eastAsia="仿宋" w:cs="仿宋"/>
                <w:b w:val="0"/>
                <w:color w:val="000000"/>
                <w:sz w:val="21"/>
                <w:szCs w:val="21"/>
              </w:rPr>
            </w:pPr>
            <w:r>
              <w:rPr>
                <w:rFonts w:hint="eastAsia" w:ascii="仿宋" w:hAnsi="仿宋" w:eastAsia="仿宋" w:cs="仿宋"/>
                <w:b w:val="0"/>
                <w:color w:val="000000"/>
                <w:kern w:val="0"/>
                <w:sz w:val="21"/>
                <w:szCs w:val="21"/>
                <w:lang w:val="en-US" w:eastAsia="zh-CN" w:bidi="ar"/>
              </w:rPr>
              <w:t>每季度上门1次</w:t>
            </w:r>
          </w:p>
        </w:tc>
        <w:tc>
          <w:tcPr>
            <w:tcW w:w="1150" w:type="dxa"/>
            <w:tcBorders>
              <w:top w:val="single" w:color="000000" w:sz="4" w:space="0"/>
              <w:bottom w:val="single" w:color="000000" w:sz="4" w:space="0"/>
            </w:tcBorders>
            <w:shd w:val="clear" w:color="auto" w:fill="FFFFFF"/>
            <w:tcMar>
              <w:top w:w="100" w:type="dxa"/>
              <w:left w:w="160" w:type="dxa"/>
              <w:bottom w:w="100" w:type="dxa"/>
              <w:right w:w="0" w:type="dxa"/>
            </w:tcMar>
            <w:vAlign w:val="center"/>
          </w:tcPr>
          <w:p w14:paraId="7A114494">
            <w:pPr>
              <w:keepNext w:val="0"/>
              <w:keepLines w:val="0"/>
              <w:widowControl/>
              <w:suppressLineNumbers w:val="0"/>
              <w:spacing w:line="250" w:lineRule="atLeast"/>
              <w:jc w:val="center"/>
              <w:rPr>
                <w:rFonts w:hint="eastAsia" w:ascii="仿宋" w:hAnsi="仿宋" w:eastAsia="仿宋" w:cs="仿宋"/>
                <w:b w:val="0"/>
                <w:color w:val="000000"/>
                <w:sz w:val="21"/>
                <w:szCs w:val="21"/>
              </w:rPr>
            </w:pPr>
            <w:r>
              <w:rPr>
                <w:rFonts w:hint="eastAsia" w:ascii="仿宋" w:hAnsi="仿宋" w:eastAsia="仿宋" w:cs="仿宋"/>
                <w:b w:val="0"/>
                <w:color w:val="000000"/>
                <w:kern w:val="0"/>
                <w:sz w:val="21"/>
                <w:szCs w:val="21"/>
                <w:lang w:val="en-US" w:eastAsia="zh-CN" w:bidi="ar"/>
              </w:rPr>
              <w:t>-</w:t>
            </w:r>
          </w:p>
        </w:tc>
      </w:tr>
    </w:tbl>
    <w:p w14:paraId="0D470924">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p>
    <w:p w14:paraId="266BCBD0">
      <w:pPr>
        <w:keepNext w:val="0"/>
        <w:keepLines w:val="0"/>
        <w:pageBreakBefore w:val="0"/>
        <w:widowControl w:val="0"/>
        <w:kinsoku/>
        <w:wordWrap/>
        <w:overflowPunct/>
        <w:topLinePunct w:val="0"/>
        <w:autoSpaceDE/>
        <w:autoSpaceDN/>
        <w:bidi w:val="0"/>
        <w:adjustRightInd/>
        <w:snapToGrid w:val="0"/>
        <w:spacing w:line="360" w:lineRule="auto"/>
        <w:ind w:firstLine="562" w:firstLineChars="200"/>
        <w:textAlignment w:val="auto"/>
        <w:rPr>
          <w:rFonts w:hint="eastAsia" w:ascii="仿宋" w:hAnsi="仿宋" w:eastAsia="仿宋" w:cs="仿宋"/>
          <w:b/>
          <w:bCs/>
          <w:sz w:val="28"/>
          <w:szCs w:val="28"/>
        </w:rPr>
      </w:pPr>
      <w:r>
        <w:rPr>
          <w:rFonts w:hint="eastAsia" w:ascii="仿宋" w:hAnsi="仿宋" w:eastAsia="仿宋" w:cs="仿宋"/>
          <w:b/>
          <w:bCs/>
          <w:sz w:val="28"/>
          <w:szCs w:val="28"/>
        </w:rPr>
        <w:t xml:space="preserve"> 3. 运维服务人员配置</w:t>
      </w:r>
    </w:p>
    <w:p w14:paraId="4347034D">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系统运维工程师1人；技术支持工程师1人。</w:t>
      </w:r>
    </w:p>
    <w:p w14:paraId="26AA9E97">
      <w:pPr>
        <w:keepNext w:val="0"/>
        <w:keepLines w:val="0"/>
        <w:pageBreakBefore w:val="0"/>
        <w:widowControl w:val="0"/>
        <w:kinsoku/>
        <w:wordWrap/>
        <w:overflowPunct/>
        <w:topLinePunct w:val="0"/>
        <w:autoSpaceDE/>
        <w:autoSpaceDN/>
        <w:bidi w:val="0"/>
        <w:adjustRightInd/>
        <w:snapToGrid w:val="0"/>
        <w:spacing w:line="360" w:lineRule="auto"/>
        <w:ind w:firstLine="562" w:firstLineChars="200"/>
        <w:textAlignment w:val="auto"/>
        <w:rPr>
          <w:rFonts w:hint="eastAsia" w:ascii="仿宋" w:hAnsi="仿宋" w:eastAsia="仿宋" w:cs="仿宋"/>
          <w:b/>
          <w:bCs/>
          <w:sz w:val="28"/>
          <w:szCs w:val="28"/>
        </w:rPr>
      </w:pPr>
      <w:r>
        <w:rPr>
          <w:rFonts w:hint="eastAsia" w:ascii="仿宋" w:hAnsi="仿宋" w:eastAsia="仿宋" w:cs="仿宋"/>
          <w:b/>
          <w:bCs/>
          <w:sz w:val="28"/>
          <w:szCs w:val="28"/>
        </w:rPr>
        <w:t xml:space="preserve"> 4. 培训要求</w:t>
      </w:r>
    </w:p>
    <w:p w14:paraId="7F896E4B">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免费提供操作及维护培训，需提供具体培训内容，保证医院负责信息系统的相关技术人员了解项目的主要功能和工作流程，熟悉数据结构，掌握公共系统维护工具，能参与项目维护及研发工作。</w:t>
      </w:r>
    </w:p>
    <w:p w14:paraId="71F94356">
      <w:pPr>
        <w:keepNext w:val="0"/>
        <w:keepLines w:val="0"/>
        <w:pageBreakBefore w:val="0"/>
        <w:widowControl w:val="0"/>
        <w:kinsoku/>
        <w:wordWrap/>
        <w:overflowPunct/>
        <w:topLinePunct w:val="0"/>
        <w:autoSpaceDE/>
        <w:autoSpaceDN/>
        <w:bidi w:val="0"/>
        <w:adjustRightInd/>
        <w:snapToGrid w:val="0"/>
        <w:spacing w:line="360" w:lineRule="auto"/>
        <w:ind w:firstLine="562" w:firstLineChars="200"/>
        <w:textAlignment w:val="auto"/>
        <w:rPr>
          <w:rFonts w:hint="eastAsia" w:ascii="仿宋" w:hAnsi="仿宋" w:eastAsia="仿宋" w:cs="仿宋"/>
          <w:sz w:val="28"/>
          <w:szCs w:val="28"/>
        </w:rPr>
      </w:pPr>
      <w:r>
        <w:rPr>
          <w:rFonts w:hint="eastAsia" w:ascii="仿宋" w:hAnsi="仿宋" w:eastAsia="仿宋" w:cs="仿宋"/>
          <w:b/>
          <w:bCs/>
          <w:sz w:val="28"/>
          <w:szCs w:val="28"/>
        </w:rPr>
        <w:t xml:space="preserve"> （六）采购标的的验收标准</w:t>
      </w:r>
    </w:p>
    <w:p w14:paraId="65384883">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符合质量验收统一标准及国家、省、市现行法规、规范及标准。中标方提供软件许可证，投标模块和数量与用户要求完全一致，如有因盗版软件引起的一切法律后果，由软件厂家与中标公司承担连带法律责任。中标人应负责在项目验收时将系统的全部有关产品说明书、技术文件、资料，及安装、验收报告等文档交付设备使用单位。采购方按照合同和技术要求组织相关部门和使用部门对功能逐一测试和试运行验收。</w:t>
      </w:r>
    </w:p>
    <w:p w14:paraId="42712017">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验收测评服务：包括功能测评、性能测评、系统整合共享互联互通测评。测评依据：系统需求规格说明书及相关技术标准。测评结论：出具验收测评报告，确保系统达到预期设计目标。</w:t>
      </w:r>
    </w:p>
    <w:p w14:paraId="0627BA2E">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网络安全等级保护测评：完成营养软件系统的等保定级、备案、测评、整改指导与监督检查。测评标准：GB/T 22239-2019《信息安全技术 网络安全等级保护基本要求》。测评等级：拟按等保三级要求执行。</w:t>
      </w:r>
    </w:p>
    <w:p w14:paraId="162F64A0">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商用密码应用安全性评估：完成系统的商用密码应用方案编制及安全性评估。评估标准：依据国家密码法律、行政法规和有关规定执行。</w:t>
      </w:r>
    </w:p>
    <w:p w14:paraId="5D38E2DC">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sz w:val="28"/>
          <w:szCs w:val="28"/>
        </w:rPr>
      </w:pPr>
      <w:r>
        <w:rPr>
          <w:rFonts w:hint="eastAsia" w:ascii="仿宋" w:hAnsi="仿宋" w:eastAsia="仿宋" w:cs="仿宋"/>
          <w:b/>
          <w:bCs/>
          <w:sz w:val="28"/>
          <w:szCs w:val="28"/>
        </w:rPr>
        <w:t>（七）采购标的的其他技术、服务等要求</w:t>
      </w:r>
    </w:p>
    <w:p w14:paraId="12329315">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按医院要求免费完成医院相关系统及信息集成平台的接口对接工作。提供专业的售后服务支持和保证，出现故障30分钟响应，4小时解决问题。</w:t>
      </w:r>
    </w:p>
    <w:p w14:paraId="628A08CC">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在三级医院评审、营养质控检查、国家级/省级营养相关考核等重要业务期间（全年约2-4次），医院若提出保障需求，运维方须提供：</w:t>
      </w:r>
    </w:p>
    <w:p w14:paraId="20526FA2">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考前48小时：远程完成营养系统、数据接口的联调测试及数据库备份。</w:t>
      </w:r>
    </w:p>
    <w:p w14:paraId="5AF35120">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考中支持：业务时段提供远程实时值守（必要时派工程师现场待命，按B类上门标准收费）。</w:t>
      </w:r>
    </w:p>
    <w:p w14:paraId="247F308A">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考后服务：考后24小时内完成数据导出校验及备份。</w:t>
      </w:r>
    </w:p>
    <w:p w14:paraId="2229EAF1">
      <w:pPr>
        <w:keepNext w:val="0"/>
        <w:keepLines w:val="0"/>
        <w:pageBreakBefore w:val="0"/>
        <w:widowControl w:val="0"/>
        <w:kinsoku/>
        <w:wordWrap/>
        <w:overflowPunct/>
        <w:topLinePunct w:val="0"/>
        <w:autoSpaceDE/>
        <w:autoSpaceDN/>
        <w:bidi w:val="0"/>
        <w:adjustRightInd/>
        <w:snapToGrid w:val="0"/>
        <w:spacing w:line="360" w:lineRule="auto"/>
        <w:ind w:firstLine="562" w:firstLineChars="200"/>
        <w:textAlignment w:val="auto"/>
        <w:rPr>
          <w:rFonts w:hint="eastAsia" w:ascii="仿宋" w:hAnsi="仿宋" w:eastAsia="仿宋" w:cs="仿宋"/>
          <w:sz w:val="28"/>
          <w:szCs w:val="28"/>
        </w:rPr>
      </w:pPr>
      <w:r>
        <w:rPr>
          <w:rFonts w:hint="eastAsia" w:ascii="仿宋" w:hAnsi="仿宋" w:eastAsia="仿宋" w:cs="仿宋"/>
          <w:b/>
          <w:bCs/>
          <w:sz w:val="28"/>
          <w:szCs w:val="28"/>
        </w:rPr>
        <w:t xml:space="preserve"> （八）实施及服务基本要求</w:t>
      </w:r>
    </w:p>
    <w:p w14:paraId="1C70E2BF">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以下6项实施及服务要求，每一项均需要投标人提供承诺函：</w:t>
      </w:r>
    </w:p>
    <w:p w14:paraId="65CE0011">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▲1. 客户端安装使用无数量限制，免费开放一定代码权限；投标人提供系统运维服务培训，保证医院负责信息系统的相关技术人员了解项目的主要功能和工作流程，熟悉数据结构，掌握公共系统维护工具，能参与项目维护及研发工作。</w:t>
      </w:r>
    </w:p>
    <w:p w14:paraId="44D1E382">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▲2. 本次投标所提供的系统、及运维期服务能与采购人现使用的相关系统、集成平台、医院微信公众号及医院因业务需求需要对接的系统等免费无缝集成，无条件免费开放所有接口和数据结构，并完成相关接口开发，对接本项目涉及到与第三方软件业务系统所发生的人工、联调、开发、修复、二次更改等一系列接口费用（包干）由投标人全额承担；</w:t>
      </w:r>
    </w:p>
    <w:p w14:paraId="6F2F2B21">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▲3. 本次投标系统及运维服务期内遵循《信息安全技术网络安全等级保护基本要求》（GB/T 22239-2019）标准要求，内置合规防护模块，具备对应安全防护能力，支持用户按等保测评标准进行整改；</w:t>
      </w:r>
      <w:bookmarkStart w:id="0" w:name="_GoBack"/>
      <w:bookmarkEnd w:id="0"/>
    </w:p>
    <w:p w14:paraId="41C950D3">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▲4. 投标人在系统建设及运维服务期内与医院在用或新建的各系统按医院要求免费对接，不限接口形式；</w:t>
      </w:r>
    </w:p>
    <w:p w14:paraId="484AA81E">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▲5. 投标人在系统建设及运维服务期内要求免费配合医院完成国家级、省级评审、评级等迎检及建设相关工作。</w:t>
      </w:r>
    </w:p>
    <w:p w14:paraId="1FF81104">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▲6. 投标人在系统建设及运维服务期内，免费配合完成该项目涉及的系统与服务能够与医院及医院指定院区等信息化发展要求的内容进行融合，该系统与服务在医院及医院指定院区免费使用并同步数据。</w:t>
      </w:r>
    </w:p>
    <w:p w14:paraId="70A3BC28">
      <w:pPr>
        <w:keepNext w:val="0"/>
        <w:keepLines w:val="0"/>
        <w:pageBreakBefore w:val="0"/>
        <w:widowControl w:val="0"/>
        <w:kinsoku/>
        <w:wordWrap/>
        <w:overflowPunct/>
        <w:topLinePunct w:val="0"/>
        <w:autoSpaceDE/>
        <w:autoSpaceDN/>
        <w:bidi w:val="0"/>
        <w:adjustRightInd/>
        <w:snapToGrid w:val="0"/>
        <w:spacing w:line="360" w:lineRule="auto"/>
        <w:ind w:firstLine="562" w:firstLineChars="200"/>
        <w:textAlignment w:val="auto"/>
        <w:rPr>
          <w:rFonts w:hint="eastAsia" w:ascii="仿宋" w:hAnsi="仿宋" w:eastAsia="仿宋" w:cs="仿宋"/>
          <w:sz w:val="28"/>
          <w:szCs w:val="28"/>
        </w:rPr>
      </w:pPr>
      <w:r>
        <w:rPr>
          <w:rFonts w:hint="eastAsia" w:ascii="仿宋" w:hAnsi="仿宋" w:eastAsia="仿宋" w:cs="仿宋"/>
          <w:b/>
          <w:bCs/>
          <w:sz w:val="28"/>
          <w:szCs w:val="28"/>
        </w:rPr>
        <w:t xml:space="preserve"> （九）信创可信性要求</w:t>
      </w:r>
    </w:p>
    <w:p w14:paraId="7B63DEAC">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1. 当前状态：医院现有基础设施及拟租赁的营养软件系统目前采用通用技术路线，尚未全面采用信创软硬件产品。</w:t>
      </w:r>
    </w:p>
    <w:p w14:paraId="3E376123">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2. 过渡方案：在项目服务期内，要求服务方提供的软件产品需具备在信创环境（国产CPU、国产操作系统、国产数据库）下运行的能力，完成信创兼容性适配认证。</w:t>
      </w:r>
    </w:p>
    <w:p w14:paraId="79216135">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3. 分步推进：服务期内配合医院信创工作整体部署，逐步完成软件系统在信创环境的迁移部署和验证，确保业务平稳过渡。</w:t>
      </w:r>
    </w:p>
    <w:p w14:paraId="7068F646">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4. 替代计划：具体信创替代时间节点和投入安排，由医院信息中心根据全院信创工作统一规划统筹确定。</w:t>
      </w:r>
    </w:p>
    <w:p w14:paraId="0F0EDB90">
      <w:pPr>
        <w:keepNext w:val="0"/>
        <w:keepLines w:val="0"/>
        <w:pageBreakBefore w:val="0"/>
        <w:widowControl w:val="0"/>
        <w:kinsoku/>
        <w:wordWrap/>
        <w:overflowPunct/>
        <w:topLinePunct w:val="0"/>
        <w:autoSpaceDE/>
        <w:autoSpaceDN/>
        <w:bidi w:val="0"/>
        <w:adjustRightInd/>
        <w:snapToGrid w:val="0"/>
        <w:spacing w:line="360" w:lineRule="auto"/>
        <w:ind w:firstLine="562" w:firstLineChars="200"/>
        <w:textAlignment w:val="auto"/>
        <w:rPr>
          <w:rFonts w:hint="eastAsia" w:ascii="仿宋" w:hAnsi="仿宋" w:eastAsia="仿宋" w:cs="仿宋"/>
          <w:sz w:val="28"/>
          <w:szCs w:val="28"/>
        </w:rPr>
      </w:pPr>
      <w:r>
        <w:rPr>
          <w:rFonts w:hint="eastAsia" w:ascii="仿宋" w:hAnsi="仿宋" w:eastAsia="仿宋" w:cs="仿宋"/>
          <w:b/>
          <w:bCs/>
          <w:sz w:val="28"/>
          <w:szCs w:val="28"/>
        </w:rPr>
        <w:t xml:space="preserve"> （十）数据资源管理要求</w:t>
      </w:r>
    </w:p>
    <w:p w14:paraId="56B086D2">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 xml:space="preserve"> 1. 数据信息</w:t>
      </w:r>
    </w:p>
    <w:p w14:paraId="7E74F3D4">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患者基本信息、患者诊断信息、检验结果数据、营养筛查数据、营养评估数据、营养干预数据、营养配制数据。</w:t>
      </w:r>
    </w:p>
    <w:p w14:paraId="33BD5113">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 xml:space="preserve"> 2. 数据共享</w:t>
      </w:r>
    </w:p>
    <w:p w14:paraId="4D9A3FFC">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本项目梳理的数据资源目录将提交医院信息中心，按照全省一体化数据资源体系要求进行编目和共享。可共享的数据包括脱敏处理后的营养筛查统计、营养干预效果评估等汇总数据，通过全省统一公共数据平台进行共享交换。</w:t>
      </w:r>
    </w:p>
    <w:p w14:paraId="1DB9E2B2">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 xml:space="preserve"> 3. 数据安全</w:t>
      </w:r>
    </w:p>
    <w:p w14:paraId="493F1237">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从数据收集、存储、使用加工、传输、提供、公开、删除全生命周期分析安全风险，制定以下安全策略：</w:t>
      </w:r>
    </w:p>
    <w:p w14:paraId="71579305">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数据收集：明确数据采集范围和方式，确保数据来源合法合规。</w:t>
      </w:r>
    </w:p>
    <w:p w14:paraId="0FAD5293">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数据存储：患者敏感信息加密存储，建立分级分类保护机制。</w:t>
      </w:r>
    </w:p>
    <w:p w14:paraId="635A5EFC">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数据传输：采用加密传输协议，防止数据泄露和篡改。</w:t>
      </w:r>
    </w:p>
    <w:p w14:paraId="20133541">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数据使用：建立严格的访问控制策略，实行最小权限原则。</w:t>
      </w:r>
    </w:p>
    <w:p w14:paraId="17C8EC18">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数据提供：对外共享数据需经过脱敏处理，确保不涉及个人隐私。</w:t>
      </w:r>
    </w:p>
    <w:p w14:paraId="1D197EA6">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数据删除：制定数据保留期限和删除机制，过期数据安全删除。</w:t>
      </w:r>
    </w:p>
    <w:p w14:paraId="6D46E133">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4F02BD4"/>
    <w:rsid w:val="41837C0C"/>
    <w:rsid w:val="74F02B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0</Words>
  <Characters>0</Characters>
  <Lines>0</Lines>
  <Paragraphs>0</Paragraphs>
  <TotalTime>14</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2026-09-11T01:30:00Z</dcterms:created>
  <dc:creator>小张伦</dc:creator>
  <cp:lastModifiedBy>小张伦</cp:lastModifiedBy>
  <dcterms:modified xsi:type="dcterms:W3CDTF">2026-09-11T03:31:14Z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C32BB3B4ACBB49DA91A5632890823096_11</vt:lpwstr>
  </property>
  <property fmtid="{D5CDD505-2E9C-101B-9397-08002B2CF9AE}" pid="4" name="KSOTemplateDocerSaveRecord">
    <vt:lpwstr>eyJoZGlkIjoiZTYyNDUxMzEwNWI2MmNjMzFlOTZmMmUzMDc3YmVmODQiLCJ1c2VySWQiOiIyNTQ5Njk5MDIifQ==</vt:lpwstr>
  </property>
</Properties>
</file>