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232ED">
      <w:pPr>
        <w:pStyle w:val="3"/>
        <w:rPr>
          <w:rFonts w:hint="eastAsia" w:ascii="方正仿宋_GBK" w:hAnsi="方正仿宋_GBK" w:eastAsia="方正仿宋_GBK" w:cs="方正仿宋_GBK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项目建设</w:t>
      </w:r>
      <w:r>
        <w:rPr>
          <w:rFonts w:hint="eastAsia" w:ascii="方正仿宋_GBK" w:hAnsi="方正仿宋_GBK" w:eastAsia="方正仿宋_GBK" w:cs="方正仿宋_GBK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需求</w:t>
      </w:r>
    </w:p>
    <w:p w14:paraId="1E0881CC">
      <w:pPr>
        <w:pStyle w:val="4"/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（一）智能病理产品建设</w:t>
      </w:r>
    </w:p>
    <w:p w14:paraId="47681E77">
      <w:pPr>
        <w:spacing w:after="0" w:line="360" w:lineRule="auto"/>
        <w:ind w:firstLine="420"/>
        <w:jc w:val="both"/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建设统一的智能病理应用平台，支持数字切片接入和调阅、AI分析任务发起、分析状态查看、可疑区域定位、热力图及细胞标记展示、定量结果查看、医师复核和结果回传等功能。平台可与医院现有数字病理诊断系统兼容，并根据医院接口规范与PIS实现必要的数据交互。</w:t>
      </w:r>
    </w:p>
    <w:p w14:paraId="00658D48">
      <w:pPr>
        <w:pStyle w:val="4"/>
        <w:numPr>
          <w:ilvl w:val="0"/>
          <w:numId w:val="2"/>
        </w:numP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多模态AI辅助诊断平台</w:t>
      </w:r>
    </w:p>
    <w:p w14:paraId="52E9B2A9">
      <w:pPr>
        <w:spacing w:after="0" w:line="360" w:lineRule="auto"/>
        <w:ind w:firstLine="420"/>
        <w:jc w:val="both"/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多模态AI辅助诊断平台覆盖组织HE智能分析、免疫组化定量判读、细胞学筛查三大核心场景，支持不同模块的智能判读能力。</w:t>
      </w:r>
    </w:p>
    <w:tbl>
      <w:tblPr>
        <w:tblStyle w:val="7"/>
        <w:tblW w:w="0" w:type="auto"/>
        <w:jc w:val="center"/>
        <w:tblBorders>
          <w:top w:val="single" w:color="808080" w:sz="6" w:space="0"/>
          <w:left w:val="single" w:color="808080" w:sz="6" w:space="0"/>
          <w:bottom w:val="single" w:color="808080" w:sz="6" w:space="0"/>
          <w:right w:val="single" w:color="808080" w:sz="6" w:space="0"/>
          <w:insideH w:val="single" w:color="808080" w:sz="6" w:space="0"/>
          <w:insideV w:val="single" w:color="80808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2311"/>
        <w:gridCol w:w="5429"/>
      </w:tblGrid>
      <w:tr w14:paraId="04606B69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5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77DD60"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1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74AE41"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模块</w:t>
            </w:r>
          </w:p>
        </w:tc>
        <w:tc>
          <w:tcPr>
            <w:tcW w:w="5429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4DA92F"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主要功能</w:t>
            </w:r>
          </w:p>
        </w:tc>
      </w:tr>
      <w:tr w14:paraId="2C5E9217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054E06">
            <w:pPr>
              <w:spacing w:after="0" w:line="288" w:lineRule="auto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8EFC78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甲状腺细胞学</w:t>
            </w:r>
          </w:p>
        </w:tc>
        <w:tc>
          <w:tcPr>
            <w:tcW w:w="54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785B98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识别甲状腺细胞形态特征，定位可疑异常细胞及重点区域，为Bethesda分类和良恶性判读提供辅助提示。</w:t>
            </w:r>
          </w:p>
        </w:tc>
      </w:tr>
      <w:tr w14:paraId="08879059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1734DA">
            <w:pPr>
              <w:spacing w:after="0" w:line="288" w:lineRule="auto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536762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细胞DNA倍体</w:t>
            </w:r>
          </w:p>
        </w:tc>
        <w:tc>
          <w:tcPr>
            <w:tcW w:w="54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B212C9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识别并分割细胞核，定量分析DNA含量及倍体分布，筛查异常非整倍体细胞并提供可视化定位。</w:t>
            </w:r>
          </w:p>
        </w:tc>
      </w:tr>
      <w:tr w14:paraId="2F3416BA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B96C50">
            <w:pPr>
              <w:spacing w:after="0" w:line="288" w:lineRule="auto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7D2BEE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肺组织HE</w:t>
            </w:r>
          </w:p>
        </w:tc>
        <w:tc>
          <w:tcPr>
            <w:tcW w:w="54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0B0E65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定位肺组织可疑病灶，提供病变区域标注、面积分析及常见病变类型的辅助提示。</w:t>
            </w:r>
          </w:p>
        </w:tc>
      </w:tr>
      <w:tr w14:paraId="657E2456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58B5D5">
            <w:pPr>
              <w:spacing w:after="0" w:line="288" w:lineRule="auto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44AB88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前列腺组织HE</w:t>
            </w:r>
          </w:p>
        </w:tc>
        <w:tc>
          <w:tcPr>
            <w:tcW w:w="54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7563B0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通过热力图展示可疑癌变区域，提供癌区面积分析以及Gleason评分和分级分组辅助提示。</w:t>
            </w:r>
          </w:p>
        </w:tc>
      </w:tr>
      <w:tr w14:paraId="1A0E8B10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44E96F">
            <w:pPr>
              <w:spacing w:after="0" w:line="288" w:lineRule="auto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BC1A44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淋巴结组织HE</w:t>
            </w:r>
          </w:p>
        </w:tc>
        <w:tc>
          <w:tcPr>
            <w:tcW w:w="54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48A5D4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定位淋巴结中的可疑转移癌病灶，通过热力图和病变标注辅助医师开展初筛和复核。</w:t>
            </w:r>
          </w:p>
        </w:tc>
      </w:tr>
      <w:tr w14:paraId="0AC305E1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F99E82">
            <w:pPr>
              <w:spacing w:after="0" w:line="288" w:lineRule="auto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42B5D3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泛癌种组织HE</w:t>
            </w:r>
          </w:p>
        </w:tc>
        <w:tc>
          <w:tcPr>
            <w:tcW w:w="54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4615E7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对多器官组织HE切片进行广谱筛查，区分癌、非癌及可疑病变，并通过热力图定位可疑区域。</w:t>
            </w:r>
          </w:p>
        </w:tc>
      </w:tr>
      <w:tr w14:paraId="0B8071F8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C53CBC">
            <w:pPr>
              <w:spacing w:after="0" w:line="288" w:lineRule="auto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3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B7FAC0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Ki-67</w:t>
            </w:r>
          </w:p>
        </w:tc>
        <w:tc>
          <w:tcPr>
            <w:tcW w:w="54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1B545E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识别阳性和阴性肿瘤细胞，支持热区或选定区域计数，计算Ki-67指数并提供可视化复核。</w:t>
            </w:r>
          </w:p>
        </w:tc>
      </w:tr>
      <w:tr w14:paraId="36071449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A0E613">
            <w:pPr>
              <w:spacing w:after="0" w:line="288" w:lineRule="auto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3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A73C79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ER</w:t>
            </w:r>
          </w:p>
        </w:tc>
        <w:tc>
          <w:tcPr>
            <w:tcW w:w="54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C7B212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识别并区分阳性、阴性肿瘤细胞，支持选定癌区及多区域计数，为ER定量判读提供参考。</w:t>
            </w:r>
          </w:p>
        </w:tc>
      </w:tr>
      <w:tr w14:paraId="6FD9F1FE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A213C1">
            <w:pPr>
              <w:spacing w:after="0" w:line="288" w:lineRule="auto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3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DCA7C9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PR</w:t>
            </w:r>
          </w:p>
        </w:tc>
        <w:tc>
          <w:tcPr>
            <w:tcW w:w="54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1D873D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识别并区分阳性、阴性肿瘤细胞，支持选定癌区及多区域计数，为PR定量判读提供参考。</w:t>
            </w:r>
          </w:p>
        </w:tc>
      </w:tr>
      <w:tr w14:paraId="4658CB4F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259E61">
            <w:pPr>
              <w:spacing w:after="0" w:line="288" w:lineRule="auto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3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39A185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HER2</w:t>
            </w:r>
          </w:p>
        </w:tc>
        <w:tc>
          <w:tcPr>
            <w:tcW w:w="54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F61A38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分析膜染色完整性和表达强度，对不同表达类型肿瘤细胞进行分类统计，为HER2分级判读提供辅助依据。</w:t>
            </w:r>
          </w:p>
        </w:tc>
      </w:tr>
      <w:tr w14:paraId="226F99A6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7C5DEE">
            <w:pPr>
              <w:spacing w:after="0" w:line="288" w:lineRule="auto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3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2C5132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PD-L1</w:t>
            </w:r>
          </w:p>
        </w:tc>
        <w:tc>
          <w:tcPr>
            <w:tcW w:w="54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33CDEC">
            <w:pPr>
              <w:spacing w:after="0" w:line="288" w:lineRule="auto"/>
              <w:rPr>
                <w:rFonts w:hint="eastAsia" w:ascii="方正仿宋_GBK" w:hAnsi="方正仿宋_GBK" w:eastAsia="方正仿宋_GBK" w:cs="方正仿宋_GBK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识别相关阳性细胞，支持区域分析和细胞计数，计算适用的TPS或CPS等指标，为PD-L1定量判读提供参考。</w:t>
            </w:r>
          </w:p>
        </w:tc>
      </w:tr>
    </w:tbl>
    <w:p w14:paraId="2E6630A6">
      <w:pPr>
        <w:spacing w:after="0"/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216524C0">
      <w:pPr>
        <w:pStyle w:val="4"/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（三）医院优势专病库及AI模型协同建设</w:t>
      </w:r>
    </w:p>
    <w:p w14:paraId="403FA86D">
      <w:pPr>
        <w:spacing w:after="0" w:line="360" w:lineRule="auto"/>
        <w:ind w:firstLine="420"/>
        <w:jc w:val="both"/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以医院优势亚专科和重点病种为先导，利用医院积累的病理切片及相关病例数据，开展病理图像、文本和临床数据的整理、标注与标准化，逐步构建高质量的优势专病数据集，为AI模型训练、验证和持续优化提供数据基础。</w:t>
      </w:r>
    </w:p>
    <w:p w14:paraId="111C67BA">
      <w:pPr>
        <w:spacing w:after="0" w:line="360" w:lineRule="auto"/>
        <w:ind w:firstLine="420"/>
        <w:jc w:val="both"/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依托病理专科大模型，建立“临床问题—数据标注—模型训练—临床验证—成果转化”的协同建设路径，结合医院临床重点需求，推进特色病种AI分析模块的研发与优化，逐步形成具有医院专科特色的AI分析能力，促进临床数据价值挖掘和科研成果转化。</w:t>
      </w:r>
    </w:p>
    <w:p w14:paraId="09C40757">
      <w:pPr>
        <w:pStyle w:val="4"/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（四）系统集成与部署</w:t>
      </w:r>
    </w:p>
    <w:p w14:paraId="405A53FF">
      <w:pPr>
        <w:pStyle w:val="5"/>
        <w:spacing w:after="0" w:line="360" w:lineRule="auto"/>
        <w:ind w:left="454" w:hanging="227"/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与数字病理诊断系统对接，调用符合要求的数字切片开展AI分析。</w:t>
      </w:r>
    </w:p>
    <w:p w14:paraId="64552ABC">
      <w:pPr>
        <w:pStyle w:val="5"/>
        <w:spacing w:after="0" w:line="360" w:lineRule="auto"/>
        <w:ind w:left="454" w:hanging="227"/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与PIS进行病例基础信息、分析任务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状态及辅助分析结果等必要数据交互。</w:t>
      </w:r>
    </w:p>
    <w:p w14:paraId="32556AFB">
      <w:pPr>
        <w:pStyle w:val="5"/>
        <w:spacing w:after="0" w:line="360" w:lineRule="auto"/>
        <w:ind w:left="454" w:hanging="227"/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遵循医院统一身份认证、用户权限、网络安全和日志审计要求。</w:t>
      </w:r>
    </w:p>
    <w:p w14:paraId="11F5DC41">
      <w:pPr>
        <w:pStyle w:val="5"/>
        <w:spacing w:after="0" w:line="360" w:lineRule="auto"/>
        <w:ind w:left="454" w:hanging="227"/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优先采用满足医院数据安全要求的院内部署或本地化运行方式；具体服务器及算力配置待技术论证后确定。</w:t>
      </w:r>
    </w:p>
    <w:p w14:paraId="6E0671CD">
      <w:pP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CF2F94"/>
    <w:multiLevelType w:val="singleLevel"/>
    <w:tmpl w:val="09CF2F9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CB2160A"/>
    <w:multiLevelType w:val="singleLevel"/>
    <w:tmpl w:val="3CB2160A"/>
    <w:lvl w:ilvl="0" w:tentative="0">
      <w:start w:val="1"/>
      <w:numFmt w:val="bullet"/>
      <w:pStyle w:val="5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145E96"/>
    <w:rsid w:val="05465563"/>
    <w:rsid w:val="0619028A"/>
    <w:rsid w:val="070C2067"/>
    <w:rsid w:val="07555C50"/>
    <w:rsid w:val="09227D11"/>
    <w:rsid w:val="0A145E96"/>
    <w:rsid w:val="0F127017"/>
    <w:rsid w:val="14A429B6"/>
    <w:rsid w:val="15AE64F9"/>
    <w:rsid w:val="16634CB2"/>
    <w:rsid w:val="16D90D33"/>
    <w:rsid w:val="1AB53605"/>
    <w:rsid w:val="1AFD655B"/>
    <w:rsid w:val="1B2A4D89"/>
    <w:rsid w:val="1B835A26"/>
    <w:rsid w:val="1BBA2411"/>
    <w:rsid w:val="1F061B49"/>
    <w:rsid w:val="1FAF20B8"/>
    <w:rsid w:val="1FFF02F0"/>
    <w:rsid w:val="22C65BBD"/>
    <w:rsid w:val="231361DC"/>
    <w:rsid w:val="25341157"/>
    <w:rsid w:val="26962A76"/>
    <w:rsid w:val="26A3569A"/>
    <w:rsid w:val="27606841"/>
    <w:rsid w:val="27DB0694"/>
    <w:rsid w:val="28E13027"/>
    <w:rsid w:val="29F71278"/>
    <w:rsid w:val="2A0F2295"/>
    <w:rsid w:val="2A92520F"/>
    <w:rsid w:val="33800E00"/>
    <w:rsid w:val="33DB7E32"/>
    <w:rsid w:val="367B4398"/>
    <w:rsid w:val="36905668"/>
    <w:rsid w:val="39C02E22"/>
    <w:rsid w:val="3D6D0428"/>
    <w:rsid w:val="3DA342EA"/>
    <w:rsid w:val="3E3777F9"/>
    <w:rsid w:val="3F0F59DD"/>
    <w:rsid w:val="403A7CF9"/>
    <w:rsid w:val="449E0A8C"/>
    <w:rsid w:val="45670641"/>
    <w:rsid w:val="479F5B1B"/>
    <w:rsid w:val="47CD07FF"/>
    <w:rsid w:val="47EA39EE"/>
    <w:rsid w:val="47F67000"/>
    <w:rsid w:val="4AAF75DF"/>
    <w:rsid w:val="4BF53993"/>
    <w:rsid w:val="4C78026A"/>
    <w:rsid w:val="4CDB085D"/>
    <w:rsid w:val="538E7F8B"/>
    <w:rsid w:val="554A405F"/>
    <w:rsid w:val="55F16275"/>
    <w:rsid w:val="56BD300E"/>
    <w:rsid w:val="57103B04"/>
    <w:rsid w:val="58F009A0"/>
    <w:rsid w:val="5C982AF1"/>
    <w:rsid w:val="5FF40B56"/>
    <w:rsid w:val="601B192F"/>
    <w:rsid w:val="64942DF6"/>
    <w:rsid w:val="64F4278A"/>
    <w:rsid w:val="654A7DBA"/>
    <w:rsid w:val="6A0372E4"/>
    <w:rsid w:val="6CC225F4"/>
    <w:rsid w:val="6D96747C"/>
    <w:rsid w:val="6F25141C"/>
    <w:rsid w:val="72C43250"/>
    <w:rsid w:val="72F06225"/>
    <w:rsid w:val="76A0340E"/>
    <w:rsid w:val="77D45114"/>
    <w:rsid w:val="7AE5365E"/>
    <w:rsid w:val="7B022BC5"/>
    <w:rsid w:val="7DDE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="Times New Roman" w:hAnsi="Times New Roman" w:eastAsia="仿宋_GB2312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200" w:after="120"/>
      <w:outlineLvl w:val="0"/>
    </w:pPr>
    <w:rPr>
      <w:rFonts w:asciiTheme="majorHAnsi" w:hAnsiTheme="majorHAnsi" w:eastAsiaTheme="majorEastAsia" w:cstheme="majorBidi"/>
      <w:b/>
      <w:bCs/>
      <w:color w:val="1F4E79"/>
      <w:sz w:val="32"/>
      <w:szCs w:val="28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00" w:after="120"/>
      <w:outlineLvl w:val="1"/>
    </w:pPr>
    <w:rPr>
      <w:rFonts w:asciiTheme="majorHAnsi" w:hAnsiTheme="majorHAnsi" w:eastAsiaTheme="majorEastAsia" w:cstheme="majorBidi"/>
      <w:b/>
      <w:bCs/>
      <w:color w:val="1F4E79"/>
      <w:sz w:val="28"/>
      <w:szCs w:val="26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5">
    <w:name w:val="List Bullet"/>
    <w:basedOn w:val="1"/>
    <w:uiPriority w:val="0"/>
    <w:pPr>
      <w:numPr>
        <w:ilvl w:val="0"/>
        <w:numId w:val="1"/>
      </w:numPr>
    </w:p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2026-09-11T07:14:00Z</dcterms:created>
  <dc:creator>李璐</dc:creator>
  <cp:lastModifiedBy>李璐</cp:lastModifiedBy>
  <dcterms:modified xsi:type="dcterms:W3CDTF">2026-09-11T07:16:57Z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7DE69572080C4FD3BBBE677B38165632_11</vt:lpwstr>
  </property>
  <property fmtid="{D5CDD505-2E9C-101B-9397-08002B2CF9AE}" pid="4" name="KSOTemplateDocerSaveRecord">
    <vt:lpwstr>eyJoZGlkIjoiMWI4YThkNTJlZTRlNDE3MmNlMWExN2U0NDEyMDEzMWEiLCJ1c2VySWQiOiIxNjA4MzQ1MDg5In0=</vt:lpwstr>
  </property>
</Properties>
</file>