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0E846">
      <w:pPr>
        <w:adjustRightInd w:val="0"/>
        <w:snapToGrid w:val="0"/>
        <w:spacing w:line="360" w:lineRule="auto"/>
        <w:jc w:val="center"/>
        <w:rPr>
          <w:rFonts w:hint="eastAsia" w:ascii="仿宋_GB2312" w:hAnsi="仿宋" w:eastAsia="仿宋_GB2312" w:cs="仿宋"/>
          <w:b/>
          <w:bCs/>
          <w:kern w:val="0"/>
          <w:sz w:val="48"/>
          <w:szCs w:val="48"/>
          <w:lang w:bidi="ar"/>
        </w:rPr>
      </w:pPr>
      <w:bookmarkStart w:id="0" w:name="_GoBack"/>
      <w:bookmarkEnd w:id="0"/>
      <w:r>
        <w:rPr>
          <w:rFonts w:ascii="仿宋_GB2312" w:hAnsi="仿宋" w:eastAsia="仿宋_GB2312" w:cs="仿宋"/>
          <w:b/>
          <w:bCs/>
          <w:kern w:val="0"/>
          <w:sz w:val="48"/>
          <w:szCs w:val="48"/>
          <w:lang w:bidi="ar"/>
        </w:rPr>
        <w:t>省级罕见病协作筛诊治质控平台建设项目</w:t>
      </w:r>
      <w:r>
        <w:rPr>
          <w:rFonts w:hint="eastAsia" w:ascii="仿宋_GB2312" w:hAnsi="仿宋" w:eastAsia="仿宋_GB2312" w:cs="仿宋"/>
          <w:b/>
          <w:bCs/>
          <w:kern w:val="0"/>
          <w:sz w:val="48"/>
          <w:szCs w:val="48"/>
          <w:lang w:bidi="ar"/>
        </w:rPr>
        <w:t>技术参数需求</w:t>
      </w:r>
    </w:p>
    <w:p w14:paraId="2CDBA856">
      <w:pPr>
        <w:pStyle w:val="2"/>
        <w:widowControl/>
        <w:adjustRightInd w:val="0"/>
        <w:snapToGrid w:val="0"/>
        <w:spacing w:beforeAutospacing="0" w:afterAutospacing="0" w:line="360" w:lineRule="auto"/>
        <w:rPr>
          <w:rFonts w:ascii="仿宋_GB2312" w:hAnsi="仿宋" w:eastAsia="仿宋_GB2312" w:cs="仿宋"/>
          <w:sz w:val="28"/>
          <w:szCs w:val="28"/>
        </w:rPr>
      </w:pPr>
      <w:r>
        <w:rPr>
          <w:rFonts w:ascii="仿宋_GB2312" w:hAnsi="仿宋" w:eastAsia="仿宋_GB2312" w:cs="仿宋"/>
          <w:sz w:val="28"/>
          <w:szCs w:val="28"/>
        </w:rPr>
        <w:t>一、项目概述</w:t>
      </w:r>
    </w:p>
    <w:p w14:paraId="4F561E43">
      <w:pPr>
        <w:pStyle w:val="7"/>
        <w:widowControl/>
        <w:adjustRightInd w:val="0"/>
        <w:snapToGrid w:val="0"/>
        <w:spacing w:beforeAutospacing="0" w:afterAutospacing="0" w:line="360" w:lineRule="auto"/>
        <w:ind w:firstLine="420"/>
        <w:rPr>
          <w:rFonts w:hint="eastAsia" w:ascii="仿宋_GB2312" w:hAnsi="仿宋" w:eastAsia="仿宋_GB2312" w:cs="仿宋"/>
          <w:sz w:val="28"/>
          <w:szCs w:val="28"/>
          <w:lang w:bidi="en-US"/>
        </w:rPr>
      </w:pPr>
      <w:r>
        <w:rPr>
          <w:rFonts w:hint="eastAsia" w:ascii="仿宋_GB2312" w:hAnsi="仿宋" w:eastAsia="仿宋_GB2312" w:cs="仿宋"/>
          <w:sz w:val="28"/>
          <w:szCs w:val="28"/>
          <w:lang w:bidi="en-US"/>
        </w:rPr>
        <w:t>本项目总体建设目标为：依据《国民健康“十五五”规划》（国发〔2026〕23 号）中健全疾病防治康管全链条一体化服务、完善早筛早诊早治与长期健康管理体系、完善全生命周期健康服务的总体部署，结合全国罕见病诊疗协作网建设相关要求，构建罕见病筛查、诊疗、康复、随访、科研的一体化、全流程的服务模式，实现全省罕见病诊疗数据的统一归集、质控管理、统计分析，提升全省罕见病筛查诊治能力与同质化水平。</w:t>
      </w:r>
    </w:p>
    <w:p w14:paraId="7F9D97D1">
      <w:pPr>
        <w:pStyle w:val="7"/>
        <w:widowControl/>
        <w:adjustRightInd w:val="0"/>
        <w:snapToGrid w:val="0"/>
        <w:spacing w:beforeAutospacing="0" w:afterAutospacing="0"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本文件为项目前期咨询技术参数需求，潜在供应商依据本需求提供技术方案、应答说明，供医院编制正式采购文件参考。</w:t>
      </w:r>
    </w:p>
    <w:p w14:paraId="5BD6287C">
      <w:pPr>
        <w:pStyle w:val="2"/>
        <w:widowControl/>
        <w:adjustRightInd w:val="0"/>
        <w:snapToGrid w:val="0"/>
        <w:spacing w:beforeAutospacing="0" w:afterAutospacing="0" w:line="360" w:lineRule="auto"/>
        <w:rPr>
          <w:rFonts w:ascii="仿宋_GB2312" w:hAnsi="仿宋" w:eastAsia="仿宋_GB2312" w:cs="仿宋"/>
          <w:sz w:val="28"/>
          <w:szCs w:val="28"/>
        </w:rPr>
      </w:pPr>
      <w:r>
        <w:rPr>
          <w:rFonts w:ascii="仿宋_GB2312" w:hAnsi="仿宋" w:eastAsia="仿宋_GB2312" w:cs="仿宋"/>
          <w:sz w:val="28"/>
          <w:szCs w:val="28"/>
        </w:rPr>
        <w:t>二、总体技术要求</w:t>
      </w:r>
    </w:p>
    <w:p w14:paraId="6138B927">
      <w:pPr>
        <w:widowControl/>
        <w:numPr>
          <w:ilvl w:val="0"/>
          <w:numId w:val="1"/>
        </w:numPr>
        <w:adjustRightInd w:val="0"/>
        <w:snapToGrid w:val="0"/>
        <w:spacing w:line="360" w:lineRule="auto"/>
        <w:ind w:left="0"/>
        <w:rPr>
          <w:rFonts w:hint="eastAsia" w:ascii="仿宋_GB2312" w:hAnsi="仿宋" w:eastAsia="仿宋_GB2312" w:cs="仿宋"/>
          <w:sz w:val="28"/>
          <w:szCs w:val="28"/>
        </w:rPr>
      </w:pPr>
      <w:r>
        <w:rPr>
          <w:rStyle w:val="11"/>
          <w:rFonts w:hint="eastAsia" w:ascii="仿宋_GB2312" w:hAnsi="仿宋" w:eastAsia="仿宋_GB2312" w:cs="仿宋"/>
          <w:sz w:val="28"/>
          <w:szCs w:val="28"/>
        </w:rPr>
        <w:t>业务功能范围</w:t>
      </w:r>
      <w:r>
        <w:rPr>
          <w:rFonts w:hint="eastAsia" w:ascii="仿宋_GB2312" w:hAnsi="仿宋" w:eastAsia="仿宋_GB2312" w:cs="仿宋"/>
          <w:sz w:val="28"/>
          <w:szCs w:val="28"/>
        </w:rPr>
        <w:t>：质控中心平台：负责数据归集、集中管理、监测和统计分析。</w:t>
      </w:r>
      <w:r>
        <w:rPr>
          <w:rFonts w:ascii="仿宋_GB2312" w:hAnsi="仿宋" w:eastAsia="仿宋_GB2312" w:cs="仿宋"/>
          <w:sz w:val="28"/>
          <w:szCs w:val="28"/>
        </w:rPr>
        <w:t>罕见病数据上报质控手段与监控预警</w:t>
      </w:r>
      <w:r>
        <w:rPr>
          <w:rFonts w:hint="eastAsia" w:ascii="仿宋_GB2312" w:hAnsi="仿宋" w:eastAsia="仿宋_GB2312" w:cs="仿宋"/>
          <w:sz w:val="28"/>
          <w:szCs w:val="28"/>
        </w:rPr>
        <w:t>：结合云端技术进行罕见病数据，防止漏诊误诊。院内辅助诊疗系统：整合基因检测与知识库，提供鉴别诊断推荐与治疗制定。规范化审核系统：对诊疗过程进行质控监测，统计疑似病例、风险变量及治疗方案等指标。专病知识库与科研平台：实现诊疗数据标准化治理、存储及科研支持（如CRF病例管理）。</w:t>
      </w:r>
    </w:p>
    <w:p w14:paraId="24C6751C">
      <w:pPr>
        <w:widowControl/>
        <w:numPr>
          <w:ilvl w:val="0"/>
          <w:numId w:val="1"/>
        </w:numPr>
        <w:adjustRightInd w:val="0"/>
        <w:snapToGrid w:val="0"/>
        <w:spacing w:line="360" w:lineRule="auto"/>
        <w:ind w:left="0"/>
        <w:rPr>
          <w:rFonts w:hint="eastAsia" w:ascii="仿宋_GB2312" w:hAnsi="仿宋" w:eastAsia="仿宋_GB2312" w:cs="仿宋"/>
          <w:sz w:val="28"/>
          <w:szCs w:val="28"/>
        </w:rPr>
      </w:pPr>
      <w:r>
        <w:rPr>
          <w:rStyle w:val="11"/>
          <w:rFonts w:hint="eastAsia" w:ascii="仿宋_GB2312" w:hAnsi="仿宋" w:eastAsia="仿宋_GB2312" w:cs="仿宋"/>
          <w:sz w:val="28"/>
          <w:szCs w:val="28"/>
        </w:rPr>
        <w:t>系统开放性与集成能力</w:t>
      </w:r>
      <w:r>
        <w:rPr>
          <w:rFonts w:hint="eastAsia" w:ascii="仿宋_GB2312" w:hAnsi="仿宋" w:eastAsia="仿宋_GB2312" w:cs="仿宋"/>
          <w:sz w:val="28"/>
          <w:szCs w:val="28"/>
        </w:rPr>
        <w:t>：具备标准接口能力，可与院内现有业务系统对接，实现院内系统互联互通；预留扩展接口便于后续新增系统对接。</w:t>
      </w:r>
    </w:p>
    <w:p w14:paraId="6C877302">
      <w:pPr>
        <w:widowControl/>
        <w:numPr>
          <w:ilvl w:val="0"/>
          <w:numId w:val="1"/>
        </w:numPr>
        <w:adjustRightInd w:val="0"/>
        <w:snapToGrid w:val="0"/>
        <w:spacing w:line="360" w:lineRule="auto"/>
        <w:ind w:left="0"/>
        <w:rPr>
          <w:rFonts w:hint="eastAsia" w:ascii="仿宋_GB2312" w:hAnsi="仿宋" w:eastAsia="仿宋_GB2312" w:cs="仿宋"/>
          <w:sz w:val="28"/>
          <w:szCs w:val="28"/>
        </w:rPr>
      </w:pPr>
      <w:r>
        <w:rPr>
          <w:rStyle w:val="11"/>
          <w:rFonts w:hint="eastAsia" w:ascii="仿宋_GB2312" w:hAnsi="仿宋" w:eastAsia="仿宋_GB2312" w:cs="仿宋"/>
          <w:sz w:val="28"/>
          <w:szCs w:val="28"/>
        </w:rPr>
        <w:t>部署要求</w:t>
      </w:r>
      <w:r>
        <w:rPr>
          <w:rFonts w:hint="eastAsia" w:ascii="仿宋_GB2312" w:hAnsi="仿宋" w:eastAsia="仿宋_GB2312" w:cs="仿宋"/>
          <w:sz w:val="28"/>
          <w:szCs w:val="28"/>
        </w:rPr>
        <w:t>：系统软硬件全部在医院服务器部署运行，业务数据存储于医院服务器；软件建成后</w:t>
      </w:r>
      <w:r>
        <w:rPr>
          <w:rStyle w:val="11"/>
          <w:rFonts w:hint="eastAsia" w:ascii="仿宋_GB2312" w:hAnsi="仿宋" w:eastAsia="仿宋_GB2312" w:cs="仿宋"/>
          <w:sz w:val="28"/>
          <w:szCs w:val="28"/>
        </w:rPr>
        <w:t>最终使用权归属医院</w:t>
      </w:r>
      <w:r>
        <w:rPr>
          <w:rFonts w:hint="eastAsia" w:ascii="仿宋_GB2312" w:hAnsi="仿宋" w:eastAsia="仿宋_GB2312" w:cs="仿宋"/>
          <w:sz w:val="28"/>
          <w:szCs w:val="28"/>
        </w:rPr>
        <w:t>；终端不限制 licenses 授权数量，网络可达终端均可开展业务操作，无固定工作站数量限制。</w:t>
      </w:r>
    </w:p>
    <w:p w14:paraId="23540AA4">
      <w:pPr>
        <w:widowControl/>
        <w:numPr>
          <w:ilvl w:val="0"/>
          <w:numId w:val="1"/>
        </w:numPr>
        <w:adjustRightInd w:val="0"/>
        <w:snapToGrid w:val="0"/>
        <w:spacing w:line="360" w:lineRule="auto"/>
        <w:ind w:left="0"/>
        <w:rPr>
          <w:rFonts w:hint="eastAsia" w:ascii="仿宋_GB2312" w:hAnsi="仿宋" w:eastAsia="仿宋_GB2312" w:cs="仿宋"/>
          <w:sz w:val="28"/>
          <w:szCs w:val="28"/>
        </w:rPr>
      </w:pPr>
      <w:r>
        <w:rPr>
          <w:rStyle w:val="11"/>
          <w:rFonts w:hint="eastAsia" w:ascii="仿宋_GB2312" w:hAnsi="仿宋" w:eastAsia="仿宋_GB2312" w:cs="仿宋"/>
          <w:sz w:val="28"/>
          <w:szCs w:val="28"/>
        </w:rPr>
        <w:t>数据安全与容灾</w:t>
      </w:r>
      <w:r>
        <w:rPr>
          <w:rFonts w:hint="eastAsia" w:ascii="仿宋_GB2312" w:hAnsi="仿宋" w:eastAsia="仿宋_GB2312" w:cs="仿宋"/>
          <w:sz w:val="28"/>
          <w:szCs w:val="28"/>
        </w:rPr>
        <w:t>：具备数据传输、存储加密能力；支持细粒度访问权限控制；具备完整操作审计日志；支持定期自动备份，具备故障数据快速恢复容灾机制，满足医院网络安全及等级保护相关要求。</w:t>
      </w:r>
    </w:p>
    <w:p w14:paraId="6A28F33E">
      <w:pPr>
        <w:widowControl/>
        <w:numPr>
          <w:ilvl w:val="0"/>
          <w:numId w:val="1"/>
        </w:numPr>
        <w:adjustRightInd w:val="0"/>
        <w:snapToGrid w:val="0"/>
        <w:spacing w:line="360" w:lineRule="auto"/>
        <w:ind w:left="0"/>
        <w:rPr>
          <w:rFonts w:hint="eastAsia" w:ascii="仿宋_GB2312" w:hAnsi="仿宋" w:eastAsia="仿宋_GB2312" w:cs="仿宋"/>
          <w:sz w:val="28"/>
          <w:szCs w:val="28"/>
        </w:rPr>
      </w:pPr>
      <w:r>
        <w:rPr>
          <w:rStyle w:val="11"/>
          <w:rFonts w:hint="eastAsia" w:ascii="仿宋_GB2312" w:hAnsi="仿宋" w:eastAsia="仿宋_GB2312" w:cs="仿宋"/>
          <w:sz w:val="28"/>
          <w:szCs w:val="28"/>
        </w:rPr>
        <w:t>定制化能力</w:t>
      </w:r>
      <w:r>
        <w:rPr>
          <w:rFonts w:hint="eastAsia" w:ascii="仿宋_GB2312" w:hAnsi="仿宋" w:eastAsia="仿宋_GB2312" w:cs="仿宋"/>
          <w:sz w:val="28"/>
          <w:szCs w:val="28"/>
        </w:rPr>
        <w:t>：支持根据质控中心实际业务，对业务流程、表单、报表进行定制化开发调整，适配医院业务现状。</w:t>
      </w:r>
    </w:p>
    <w:p w14:paraId="40087E2B">
      <w:pPr>
        <w:widowControl/>
        <w:numPr>
          <w:ilvl w:val="0"/>
          <w:numId w:val="1"/>
        </w:numPr>
        <w:adjustRightInd w:val="0"/>
        <w:snapToGrid w:val="0"/>
        <w:spacing w:line="360" w:lineRule="auto"/>
        <w:ind w:left="0"/>
        <w:rPr>
          <w:rFonts w:hint="eastAsia" w:ascii="仿宋_GB2312" w:hAnsi="仿宋" w:eastAsia="仿宋_GB2312" w:cs="仿宋"/>
          <w:sz w:val="28"/>
          <w:szCs w:val="28"/>
        </w:rPr>
      </w:pPr>
      <w:r>
        <w:rPr>
          <w:rStyle w:val="11"/>
          <w:rFonts w:hint="eastAsia" w:ascii="仿宋_GB2312" w:hAnsi="仿宋" w:eastAsia="仿宋_GB2312" w:cs="仿宋"/>
          <w:sz w:val="28"/>
          <w:szCs w:val="28"/>
        </w:rPr>
        <w:t>移动端兼容性</w:t>
      </w:r>
      <w:r>
        <w:rPr>
          <w:rFonts w:hint="eastAsia" w:ascii="仿宋_GB2312" w:hAnsi="仿宋" w:eastAsia="仿宋_GB2312" w:cs="仿宋"/>
          <w:sz w:val="28"/>
          <w:szCs w:val="28"/>
        </w:rPr>
        <w:t>：移动端支持 Android4.3 及以上版本、iOS9 及以上版本，可在手机、PDA 移动终端使用，支持二维码/条码扫码识别设备。</w:t>
      </w:r>
    </w:p>
    <w:p w14:paraId="20DD2000">
      <w:pPr>
        <w:widowControl/>
        <w:numPr>
          <w:ilvl w:val="0"/>
          <w:numId w:val="1"/>
        </w:numPr>
        <w:adjustRightInd w:val="0"/>
        <w:snapToGrid w:val="0"/>
        <w:spacing w:line="360" w:lineRule="auto"/>
        <w:ind w:left="0"/>
        <w:rPr>
          <w:rStyle w:val="11"/>
          <w:rFonts w:hint="eastAsia" w:ascii="仿宋_GB2312" w:hAnsi="仿宋" w:eastAsia="仿宋_GB2312" w:cs="仿宋"/>
          <w:sz w:val="28"/>
          <w:szCs w:val="28"/>
        </w:rPr>
      </w:pPr>
      <w:r>
        <w:rPr>
          <w:rStyle w:val="11"/>
          <w:rFonts w:hint="eastAsia" w:ascii="仿宋_GB2312" w:hAnsi="仿宋" w:eastAsia="仿宋_GB2312" w:cs="仿宋"/>
          <w:sz w:val="28"/>
          <w:szCs w:val="28"/>
        </w:rPr>
        <w:t>多地同步部署：</w:t>
      </w:r>
      <w:r>
        <w:rPr>
          <w:rFonts w:hint="eastAsia" w:ascii="仿宋_GB2312" w:hAnsi="仿宋" w:eastAsia="仿宋_GB2312" w:cs="仿宋"/>
          <w:sz w:val="28"/>
          <w:szCs w:val="28"/>
        </w:rPr>
        <w:t>供应商须承诺，自院方发出入场实施通知后，完成各质控中心成员单位的系统客户端部署、网络打通、终端设备安装调试及用户权限配置工作，确保与质控中心主体业务同步上线、无缝运行。</w:t>
      </w:r>
    </w:p>
    <w:p w14:paraId="5E215473">
      <w:pPr>
        <w:pStyle w:val="2"/>
        <w:widowControl/>
        <w:adjustRightInd w:val="0"/>
        <w:snapToGrid w:val="0"/>
        <w:spacing w:beforeAutospacing="0" w:afterAutospacing="0" w:line="360" w:lineRule="auto"/>
        <w:rPr>
          <w:rFonts w:ascii="仿宋_GB2312" w:hAnsi="仿宋" w:eastAsia="仿宋_GB2312" w:cs="仿宋"/>
          <w:sz w:val="28"/>
          <w:szCs w:val="28"/>
        </w:rPr>
      </w:pPr>
      <w:r>
        <w:rPr>
          <w:rFonts w:ascii="仿宋_GB2312" w:hAnsi="仿宋" w:eastAsia="仿宋_GB2312" w:cs="仿宋"/>
          <w:sz w:val="28"/>
          <w:szCs w:val="28"/>
        </w:rPr>
        <w:t>三、业务功能参数要求</w:t>
      </w:r>
    </w:p>
    <w:p w14:paraId="3FB19F50">
      <w:pPr>
        <w:pStyle w:val="3"/>
        <w:widowControl/>
        <w:adjustRightInd w:val="0"/>
        <w:snapToGrid w:val="0"/>
        <w:spacing w:beforeAutospacing="0" w:afterAutospacing="0" w:line="360" w:lineRule="auto"/>
        <w:rPr>
          <w:rFonts w:ascii="仿宋_GB2312" w:hAnsi="仿宋" w:eastAsia="仿宋_GB2312" w:cs="仿宋"/>
          <w:sz w:val="28"/>
          <w:szCs w:val="28"/>
        </w:rPr>
      </w:pPr>
      <w:r>
        <w:rPr>
          <w:rFonts w:ascii="仿宋_GB2312" w:hAnsi="仿宋" w:eastAsia="仿宋_GB2312" w:cs="仿宋"/>
          <w:sz w:val="28"/>
          <w:szCs w:val="28"/>
        </w:rPr>
        <w:t>3.1 质控中心平台</w:t>
      </w:r>
    </w:p>
    <w:p w14:paraId="44F07221">
      <w:pPr>
        <w:pStyle w:val="14"/>
        <w:numPr>
          <w:ilvl w:val="0"/>
          <w:numId w:val="2"/>
        </w:numPr>
        <w:shd w:val="clear" w:color="auto" w:fill="FFFFFF"/>
        <w:adjustRightInd w:val="0"/>
        <w:snapToGrid w:val="0"/>
        <w:spacing w:before="0" w:beforeAutospacing="0" w:after="0" w:afterAutospacing="0" w:line="360" w:lineRule="auto"/>
        <w:rPr>
          <w:rFonts w:hint="eastAsia" w:ascii="仿宋_GB2312" w:hAnsi="Segoe UI" w:eastAsia="仿宋_GB2312" w:cs="Segoe UI"/>
          <w:color w:val="0F1115"/>
          <w:sz w:val="28"/>
          <w:szCs w:val="28"/>
        </w:rPr>
      </w:pPr>
      <w:r>
        <w:rPr>
          <w:rFonts w:hint="eastAsia" w:ascii="仿宋_GB2312" w:hAnsi="Segoe UI" w:eastAsia="仿宋_GB2312" w:cs="Segoe UI"/>
          <w:color w:val="0F1115"/>
          <w:sz w:val="28"/>
          <w:szCs w:val="28"/>
        </w:rPr>
        <w:t>支持全省16地州、多医院、多科室数据归集与集中管理。</w:t>
      </w:r>
    </w:p>
    <w:p w14:paraId="575747F5">
      <w:pPr>
        <w:pStyle w:val="14"/>
        <w:numPr>
          <w:ilvl w:val="0"/>
          <w:numId w:val="2"/>
        </w:numPr>
        <w:shd w:val="clear" w:color="auto" w:fill="FFFFFF"/>
        <w:adjustRightInd w:val="0"/>
        <w:snapToGrid w:val="0"/>
        <w:spacing w:before="0" w:beforeAutospacing="0" w:after="0" w:afterAutospacing="0" w:line="360" w:lineRule="auto"/>
        <w:rPr>
          <w:rFonts w:hint="eastAsia" w:ascii="仿宋_GB2312" w:hAnsi="Segoe UI" w:eastAsia="仿宋_GB2312" w:cs="Segoe UI"/>
          <w:color w:val="0F1115"/>
          <w:sz w:val="28"/>
          <w:szCs w:val="28"/>
        </w:rPr>
      </w:pPr>
      <w:r>
        <w:rPr>
          <w:rFonts w:hint="eastAsia" w:ascii="仿宋_GB2312" w:hAnsi="Segoe UI" w:eastAsia="仿宋_GB2312" w:cs="Segoe UI"/>
          <w:color w:val="0F1115"/>
          <w:sz w:val="28"/>
          <w:szCs w:val="28"/>
        </w:rPr>
        <w:t>提供省、地州、医院、科室、病种多级看板。</w:t>
      </w:r>
    </w:p>
    <w:p w14:paraId="4A707864">
      <w:pPr>
        <w:pStyle w:val="14"/>
        <w:numPr>
          <w:ilvl w:val="0"/>
          <w:numId w:val="2"/>
        </w:numPr>
        <w:shd w:val="clear" w:color="auto" w:fill="FFFFFF"/>
        <w:adjustRightInd w:val="0"/>
        <w:snapToGrid w:val="0"/>
        <w:spacing w:before="0" w:beforeAutospacing="0" w:after="0" w:afterAutospacing="0" w:line="360" w:lineRule="auto"/>
        <w:rPr>
          <w:rFonts w:hint="eastAsia" w:ascii="仿宋_GB2312" w:hAnsi="Segoe UI" w:eastAsia="仿宋_GB2312" w:cs="Segoe UI"/>
          <w:color w:val="0F1115"/>
          <w:sz w:val="28"/>
          <w:szCs w:val="28"/>
        </w:rPr>
      </w:pPr>
      <w:r>
        <w:rPr>
          <w:rFonts w:hint="eastAsia" w:ascii="仿宋_GB2312" w:hAnsi="Segoe UI" w:eastAsia="仿宋_GB2312" w:cs="Segoe UI"/>
          <w:color w:val="0F1115"/>
          <w:sz w:val="28"/>
          <w:szCs w:val="28"/>
        </w:rPr>
        <w:t>核心指标：筛查率、确诊率、上报及时率、完整率、规范治疗率、随访率、漏报率、误报率。</w:t>
      </w:r>
    </w:p>
    <w:p w14:paraId="57C76DDE">
      <w:pPr>
        <w:pStyle w:val="14"/>
        <w:numPr>
          <w:ilvl w:val="0"/>
          <w:numId w:val="2"/>
        </w:numPr>
        <w:shd w:val="clear" w:color="auto" w:fill="FFFFFF"/>
        <w:adjustRightInd w:val="0"/>
        <w:snapToGrid w:val="0"/>
        <w:spacing w:before="0" w:beforeAutospacing="0" w:after="0" w:afterAutospacing="0" w:line="360" w:lineRule="auto"/>
        <w:rPr>
          <w:rFonts w:hint="eastAsia" w:ascii="仿宋_GB2312" w:hAnsi="Segoe UI" w:eastAsia="仿宋_GB2312" w:cs="Segoe UI"/>
          <w:color w:val="0F1115"/>
          <w:sz w:val="28"/>
          <w:szCs w:val="28"/>
        </w:rPr>
      </w:pPr>
      <w:r>
        <w:rPr>
          <w:rFonts w:hint="eastAsia" w:ascii="仿宋_GB2312" w:hAnsi="Segoe UI" w:eastAsia="仿宋_GB2312" w:cs="Segoe UI"/>
          <w:color w:val="0F1115"/>
          <w:sz w:val="28"/>
          <w:szCs w:val="28"/>
        </w:rPr>
        <w:t>支持指标下钻、同比环比、趋势分析、自动生成报表、导出与定时推送。</w:t>
      </w:r>
    </w:p>
    <w:p w14:paraId="18CEB9D0">
      <w:pPr>
        <w:pStyle w:val="14"/>
        <w:numPr>
          <w:ilvl w:val="0"/>
          <w:numId w:val="2"/>
        </w:numPr>
        <w:shd w:val="clear" w:color="auto" w:fill="FFFFFF"/>
        <w:adjustRightInd w:val="0"/>
        <w:snapToGrid w:val="0"/>
        <w:spacing w:before="0" w:beforeAutospacing="0" w:after="0" w:afterAutospacing="0" w:line="360" w:lineRule="auto"/>
        <w:rPr>
          <w:rFonts w:hint="eastAsia" w:ascii="仿宋_GB2312" w:hAnsi="Segoe UI" w:eastAsia="仿宋_GB2312" w:cs="Segoe UI"/>
          <w:color w:val="0F1115"/>
          <w:sz w:val="28"/>
          <w:szCs w:val="28"/>
        </w:rPr>
      </w:pPr>
      <w:r>
        <w:rPr>
          <w:rFonts w:hint="eastAsia" w:ascii="仿宋_GB2312" w:hAnsi="Segoe UI" w:eastAsia="仿宋_GB2312" w:cs="Segoe UI"/>
          <w:color w:val="0F1115"/>
          <w:sz w:val="28"/>
          <w:szCs w:val="28"/>
        </w:rPr>
        <w:t>权限分级：省级、地州、医院、科室、医生，数据隔离与授权访问。</w:t>
      </w:r>
    </w:p>
    <w:p w14:paraId="1BDBE96E">
      <w:pPr>
        <w:pStyle w:val="3"/>
        <w:widowControl/>
        <w:adjustRightInd w:val="0"/>
        <w:snapToGrid w:val="0"/>
        <w:spacing w:beforeAutospacing="0" w:afterAutospacing="0" w:line="360" w:lineRule="auto"/>
        <w:ind w:firstLine="420"/>
        <w:rPr>
          <w:rFonts w:ascii="仿宋_GB2312" w:hAnsi="仿宋" w:eastAsia="仿宋_GB2312" w:cs="仿宋"/>
          <w:sz w:val="28"/>
          <w:szCs w:val="28"/>
        </w:rPr>
      </w:pPr>
      <w:r>
        <w:rPr>
          <w:rFonts w:ascii="仿宋_GB2312" w:hAnsi="仿宋" w:eastAsia="仿宋_GB2312" w:cs="仿宋"/>
          <w:sz w:val="28"/>
          <w:szCs w:val="28"/>
        </w:rPr>
        <w:t>3.2 罕见病数据上报质控手段与监控预警</w:t>
      </w:r>
    </w:p>
    <w:p w14:paraId="5E96DAF4">
      <w:pPr>
        <w:widowControl/>
        <w:numPr>
          <w:ilvl w:val="0"/>
          <w:numId w:val="3"/>
        </w:numPr>
        <w:tabs>
          <w:tab w:val="clear" w:pos="312"/>
        </w:tabs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总体质控框架：</w:t>
      </w:r>
      <w:r>
        <w:rPr>
          <w:rFonts w:ascii="仿宋_GB2312" w:hAnsi="仿宋" w:eastAsia="仿宋_GB2312" w:cs="仿宋"/>
          <w:sz w:val="28"/>
          <w:szCs w:val="28"/>
        </w:rPr>
        <w:t>罕见病数据上报面临病种分散、来源多源、基层填报能力参差、漏报误报并存等结构性难题。系统应建立“规则引擎实时校验 + 六西格玛过程度量 + 统计过程控制（SPC）动态监控 + 分级预警闭环”的四层质控体系，实现从数据采集、上报、审核到反馈改进的全流程质量管控。</w:t>
      </w:r>
    </w:p>
    <w:p w14:paraId="256C5F6F">
      <w:pPr>
        <w:widowControl/>
        <w:numPr>
          <w:ilvl w:val="0"/>
          <w:numId w:val="3"/>
        </w:numPr>
        <w:tabs>
          <w:tab w:val="clear" w:pos="312"/>
        </w:tabs>
        <w:adjustRightInd w:val="0"/>
        <w:snapToGrid w:val="0"/>
        <w:spacing w:line="360" w:lineRule="auto"/>
        <w:ind w:firstLine="42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六西格玛质控机制：</w:t>
      </w:r>
    </w:p>
    <w:p w14:paraId="5BD0FE3B">
      <w:pPr>
        <w:pStyle w:val="15"/>
        <w:numPr>
          <w:ilvl w:val="0"/>
          <w:numId w:val="4"/>
        </w:numPr>
        <w:ind w:firstLineChars="0"/>
        <w:rPr>
          <w:rFonts w:ascii="仿宋_GB2312" w:hAnsi="仿宋" w:eastAsia="仿宋_GB2312" w:cs="仿宋"/>
          <w:sz w:val="28"/>
          <w:szCs w:val="28"/>
        </w:rPr>
      </w:pPr>
      <w:r>
        <w:rPr>
          <w:rFonts w:ascii="仿宋_GB2312" w:hAnsi="仿宋" w:eastAsia="仿宋_GB2312" w:cs="仿宋"/>
          <w:sz w:val="28"/>
          <w:szCs w:val="28"/>
        </w:rPr>
        <w:t>DMAIC闭环管理</w:t>
      </w:r>
      <w:r>
        <w:rPr>
          <w:rFonts w:hint="eastAsia" w:ascii="仿宋_GB2312" w:hAnsi="仿宋" w:eastAsia="仿宋_GB2312" w:cs="仿宋"/>
          <w:sz w:val="28"/>
          <w:szCs w:val="28"/>
        </w:rPr>
        <w:t>：</w:t>
      </w:r>
      <w:r>
        <w:rPr>
          <w:rFonts w:ascii="仿宋_GB2312" w:hAnsi="仿宋" w:eastAsia="仿宋_GB2312" w:cs="仿宋"/>
          <w:sz w:val="28"/>
          <w:szCs w:val="28"/>
        </w:rPr>
        <w:t>系统应支持六西格玛DMAIC（定义—测量—分析—改进—控制）五阶段数据质量管理流程，针对上报数据的及时性、完整性、准确性、一致性等核心质量指标，定期开展量化评估与根因分析。</w:t>
      </w:r>
      <w:r>
        <w:rPr>
          <w:rFonts w:hint="eastAsia" w:ascii="仿宋_GB2312" w:hAnsi="仿宋" w:eastAsia="仿宋_GB2312" w:cs="仿宋"/>
          <w:sz w:val="28"/>
          <w:szCs w:val="28"/>
        </w:rPr>
        <w:t>有报道称，某</w:t>
      </w:r>
      <w:r>
        <w:rPr>
          <w:rFonts w:ascii="仿宋_GB2312" w:hAnsi="仿宋" w:eastAsia="仿宋_GB2312" w:cs="仿宋"/>
          <w:sz w:val="28"/>
          <w:szCs w:val="28"/>
        </w:rPr>
        <w:t>医院已有单病种数据质量管理实践中，通过DMAIC五阶段系统改进，显著提升了数据填报的及时性、完整性和准确性。检验领域应用六西格玛DMAIC流程后，偏倚值降低40%～72%，误差率从3.2%降至0.8%，西格玛水平由平均3.2提升至4.8，异常值识别灵敏度显著提高。系统应参照此模式，将数据上报错误率、退回率、延迟率等纳入DMAIC改进循环。</w:t>
      </w:r>
    </w:p>
    <w:p w14:paraId="7865F5BA">
      <w:pPr>
        <w:pStyle w:val="14"/>
        <w:numPr>
          <w:ilvl w:val="0"/>
          <w:numId w:val="4"/>
        </w:numPr>
        <w:shd w:val="clear" w:color="auto" w:fill="FFFFFF"/>
        <w:snapToGrid w:val="0"/>
        <w:spacing w:before="0" w:beforeAutospacing="0" w:after="0" w:afterAutospacing="0" w:line="360" w:lineRule="auto"/>
        <w:ind w:left="1281" w:hanging="442"/>
        <w:rPr>
          <w:rFonts w:hint="eastAsia" w:ascii="仿宋_GB2312" w:hAnsi="Segoe UI" w:eastAsia="仿宋_GB2312" w:cs="Segoe UI"/>
          <w:color w:val="0F1115"/>
          <w:sz w:val="28"/>
          <w:szCs w:val="28"/>
        </w:rPr>
      </w:pPr>
      <w:r>
        <w:rPr>
          <w:rFonts w:hint="eastAsia" w:ascii="仿宋_GB2312" w:hAnsi="Segoe UI" w:eastAsia="仿宋_GB2312" w:cs="Segoe UI"/>
          <w:color w:val="0F1115"/>
          <w:sz w:val="28"/>
          <w:szCs w:val="28"/>
        </w:rPr>
        <w:t>西格玛水平评价与分级：系统应支持对上报数据质量指标计算西格玛（σ）水平，并根据σ值进行质量分级；</w:t>
      </w:r>
    </w:p>
    <w:p w14:paraId="2A5AD6A2">
      <w:pPr>
        <w:pStyle w:val="14"/>
        <w:numPr>
          <w:ilvl w:val="0"/>
          <w:numId w:val="4"/>
        </w:numPr>
        <w:shd w:val="clear" w:color="auto" w:fill="FFFFFF"/>
        <w:snapToGrid w:val="0"/>
        <w:spacing w:before="0" w:beforeAutospacing="0" w:after="0" w:afterAutospacing="0" w:line="360" w:lineRule="auto"/>
        <w:ind w:left="1281" w:hanging="442"/>
        <w:rPr>
          <w:rFonts w:hint="eastAsia" w:ascii="仿宋_GB2312" w:hAnsi="Segoe UI" w:eastAsia="仿宋_GB2312" w:cs="Segoe UI"/>
          <w:color w:val="0F1115"/>
          <w:sz w:val="28"/>
          <w:szCs w:val="28"/>
        </w:rPr>
      </w:pPr>
      <w:r>
        <w:rPr>
          <w:rFonts w:hint="eastAsia" w:ascii="仿宋_GB2312" w:hAnsi="Segoe UI" w:eastAsia="仿宋_GB2312" w:cs="Segoe UI"/>
          <w:color w:val="0F1115"/>
          <w:sz w:val="28"/>
          <w:szCs w:val="28"/>
        </w:rPr>
        <w:t>动态标杆管理：用“对标—达标—立新标”的阶梯式PDCA循环，以国家罕见病质控指标和省级要求为基准，动态设定各阶段质量目标。当某地州或医院某项数据质量指标达标后，系统自动提升该指标的目标阈值，推动持续改进。</w:t>
      </w:r>
    </w:p>
    <w:p w14:paraId="585C082F">
      <w:pPr>
        <w:widowControl/>
        <w:numPr>
          <w:ilvl w:val="0"/>
          <w:numId w:val="3"/>
        </w:numPr>
        <w:tabs>
          <w:tab w:val="clear" w:pos="312"/>
        </w:tabs>
        <w:adjustRightInd w:val="0"/>
        <w:snapToGrid w:val="0"/>
        <w:spacing w:line="360" w:lineRule="auto"/>
        <w:ind w:firstLine="420"/>
        <w:rPr>
          <w:rFonts w:ascii="仿宋_GB2312" w:hAnsi="仿宋" w:eastAsia="仿宋_GB2312" w:cs="仿宋"/>
          <w:sz w:val="28"/>
          <w:szCs w:val="28"/>
        </w:rPr>
      </w:pPr>
      <w:r>
        <w:rPr>
          <w:rFonts w:ascii="仿宋_GB2312" w:hAnsi="仿宋" w:eastAsia="仿宋_GB2312" w:cs="仿宋"/>
          <w:sz w:val="28"/>
          <w:szCs w:val="28"/>
        </w:rPr>
        <w:t>统计过程控制（SPC）与实时监控</w:t>
      </w:r>
      <w:r>
        <w:rPr>
          <w:rFonts w:hint="eastAsia" w:ascii="仿宋_GB2312" w:hAnsi="仿宋" w:eastAsia="仿宋_GB2312" w:cs="仿宋"/>
          <w:sz w:val="28"/>
          <w:szCs w:val="28"/>
        </w:rPr>
        <w:t>：</w:t>
      </w:r>
    </w:p>
    <w:p w14:paraId="42B04CB4">
      <w:pPr>
        <w:pStyle w:val="15"/>
        <w:widowControl/>
        <w:numPr>
          <w:ilvl w:val="0"/>
          <w:numId w:val="5"/>
        </w:numPr>
        <w:adjustRightInd w:val="0"/>
        <w:snapToGrid w:val="0"/>
        <w:spacing w:line="360" w:lineRule="auto"/>
        <w:ind w:firstLineChars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控制图应用系统应内置统计过程控制（SPC）控制图工具，对上报数据的核心质量指标进行实时过程监控：</w:t>
      </w:r>
    </w:p>
    <w:p w14:paraId="007B63FF">
      <w:pPr>
        <w:pStyle w:val="15"/>
        <w:widowControl/>
        <w:adjustRightInd w:val="0"/>
        <w:snapToGrid w:val="0"/>
        <w:spacing w:line="360" w:lineRule="auto"/>
        <w:ind w:left="1280" w:firstLine="400" w:firstLineChars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Xbar-R控制图：适用于上报及时率、完整率等连续型指标，监测均值和极差变化。</w:t>
      </w:r>
    </w:p>
    <w:p w14:paraId="18B7E683">
      <w:pPr>
        <w:pStyle w:val="15"/>
        <w:widowControl/>
        <w:adjustRightInd w:val="0"/>
        <w:snapToGrid w:val="0"/>
        <w:spacing w:line="360" w:lineRule="auto"/>
        <w:ind w:left="1280" w:firstLine="400" w:firstLineChars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U控制图：适用于漏报数、误报数等离散计数数据，监控单位样本缺陷数。</w:t>
      </w:r>
    </w:p>
    <w:p w14:paraId="6212DDE5">
      <w:pPr>
        <w:pStyle w:val="15"/>
        <w:widowControl/>
        <w:adjustRightInd w:val="0"/>
        <w:snapToGrid w:val="0"/>
        <w:spacing w:line="360" w:lineRule="auto"/>
        <w:ind w:left="1280" w:firstLine="400" w:firstLineChars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P控制图：适用于上报率、退回率等比例型指标。</w:t>
      </w:r>
    </w:p>
    <w:p w14:paraId="08D78947">
      <w:pPr>
        <w:widowControl/>
        <w:adjustRightInd w:val="0"/>
        <w:snapToGrid w:val="0"/>
        <w:spacing w:line="360" w:lineRule="auto"/>
        <w:ind w:left="420"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控制图应设置中心线（CL）、上控制限（UCL）和下控制限（LCL），当数据点超出控制限或呈现连续偏移趋势时，系统自动触发预警。研究表明，将SPC实时监控集成到医院信息系统中，可实现对质量过程的主动预警和持续保障。</w:t>
      </w:r>
    </w:p>
    <w:p w14:paraId="44CE248D">
      <w:pPr>
        <w:pStyle w:val="15"/>
        <w:widowControl/>
        <w:numPr>
          <w:ilvl w:val="0"/>
          <w:numId w:val="5"/>
        </w:numPr>
        <w:adjustRightInd w:val="0"/>
        <w:snapToGrid w:val="0"/>
        <w:spacing w:line="360" w:lineRule="auto"/>
        <w:ind w:firstLineChars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趋势预测与智能预警：系统应支持基于历史数据训练趋势预测模型，对上报数据质量指标的未来走势进行预测。参考已有六西格玛动态质控策略，当模型预测连续样本的偏差趋势将超出允许总误差（TEa）的50%时，系统立即发出红色预警并自动通知质控人员。系统应支持设置多级预警阈值：</w:t>
      </w:r>
    </w:p>
    <w:p w14:paraId="7C56236D">
      <w:pPr>
        <w:widowControl/>
        <w:numPr>
          <w:ilvl w:val="0"/>
          <w:numId w:val="3"/>
        </w:numPr>
        <w:tabs>
          <w:tab w:val="clear" w:pos="312"/>
        </w:tabs>
        <w:adjustRightInd w:val="0"/>
        <w:snapToGrid w:val="0"/>
        <w:spacing w:line="360" w:lineRule="auto"/>
        <w:ind w:firstLine="420"/>
        <w:rPr>
          <w:rFonts w:ascii="仿宋_GB2312" w:hAnsi="仿宋" w:eastAsia="仿宋_GB2312" w:cs="仿宋"/>
          <w:sz w:val="28"/>
          <w:szCs w:val="28"/>
        </w:rPr>
      </w:pPr>
      <w:r>
        <w:rPr>
          <w:rFonts w:ascii="仿宋_GB2312" w:hAnsi="仿宋" w:eastAsia="仿宋_GB2312" w:cs="仿宋"/>
          <w:sz w:val="28"/>
          <w:szCs w:val="28"/>
        </w:rPr>
        <w:t>数据质量规则引擎与预警</w:t>
      </w:r>
      <w:r>
        <w:rPr>
          <w:rFonts w:hint="eastAsia" w:ascii="仿宋_GB2312" w:hAnsi="仿宋" w:eastAsia="仿宋_GB2312" w:cs="仿宋"/>
          <w:sz w:val="28"/>
          <w:szCs w:val="28"/>
        </w:rPr>
        <w:t>：</w:t>
      </w:r>
    </w:p>
    <w:p w14:paraId="030470E1">
      <w:pPr>
        <w:pStyle w:val="15"/>
        <w:numPr>
          <w:ilvl w:val="0"/>
          <w:numId w:val="6"/>
        </w:numPr>
        <w:ind w:firstLineChars="0"/>
        <w:rPr>
          <w:rFonts w:ascii="仿宋_GB2312" w:hAnsi="仿宋" w:eastAsia="仿宋_GB2312" w:cs="仿宋"/>
          <w:sz w:val="28"/>
          <w:szCs w:val="28"/>
        </w:rPr>
      </w:pPr>
      <w:r>
        <w:rPr>
          <w:rFonts w:ascii="仿宋_GB2312" w:hAnsi="仿宋" w:eastAsia="仿宋_GB2312" w:cs="仿宋"/>
          <w:sz w:val="28"/>
          <w:szCs w:val="28"/>
        </w:rPr>
        <w:t>多维校验规则</w:t>
      </w:r>
      <w:r>
        <w:rPr>
          <w:rFonts w:hint="eastAsia" w:ascii="仿宋_GB2312" w:hAnsi="仿宋" w:eastAsia="仿宋_GB2312" w:cs="仿宋"/>
          <w:sz w:val="28"/>
          <w:szCs w:val="28"/>
        </w:rPr>
        <w:t>：</w:t>
      </w:r>
      <w:r>
        <w:rPr>
          <w:rFonts w:ascii="仿宋_GB2312" w:hAnsi="仿宋" w:eastAsia="仿宋_GB2312" w:cs="仿宋"/>
          <w:sz w:val="28"/>
          <w:szCs w:val="28"/>
        </w:rPr>
        <w:t>系统应建立覆盖完整性、准确性、一致性、及时性、逻辑性的规则引擎，支持规则的可配置化和版本管理。具体校验类型包括：</w:t>
      </w:r>
    </w:p>
    <w:p w14:paraId="60374118">
      <w:pPr>
        <w:pStyle w:val="15"/>
        <w:numPr>
          <w:ilvl w:val="1"/>
          <w:numId w:val="6"/>
        </w:numPr>
        <w:ind w:firstLineChars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必填项校验：关键字段缺失自动拦截。</w:t>
      </w:r>
    </w:p>
    <w:p w14:paraId="375B07A1">
      <w:pPr>
        <w:pStyle w:val="15"/>
        <w:numPr>
          <w:ilvl w:val="1"/>
          <w:numId w:val="6"/>
        </w:numPr>
        <w:ind w:firstLineChars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值域校验：如检验结果超出医学参考范围时预警。</w:t>
      </w:r>
    </w:p>
    <w:p w14:paraId="5775E2A1">
      <w:pPr>
        <w:pStyle w:val="15"/>
        <w:numPr>
          <w:ilvl w:val="1"/>
          <w:numId w:val="6"/>
        </w:numPr>
        <w:ind w:firstLineChars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逻辑一致性校验：如诊断编码与用药方案不匹配时提示。</w:t>
      </w:r>
    </w:p>
    <w:p w14:paraId="45129770">
      <w:pPr>
        <w:pStyle w:val="15"/>
        <w:numPr>
          <w:ilvl w:val="1"/>
          <w:numId w:val="6"/>
        </w:numPr>
        <w:ind w:firstLineChars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时间逻辑校验：如报告时间早于采样时间时拦截。</w:t>
      </w:r>
    </w:p>
    <w:p w14:paraId="23B51FE5">
      <w:pPr>
        <w:pStyle w:val="15"/>
        <w:numPr>
          <w:ilvl w:val="1"/>
          <w:numId w:val="6"/>
        </w:numPr>
        <w:ind w:firstLineChars="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跨系统对账校验：与HIS、LIS等源系统数据自动比对，识别不一致记录。</w:t>
      </w:r>
    </w:p>
    <w:p w14:paraId="08D032B8">
      <w:pPr>
        <w:pStyle w:val="15"/>
        <w:numPr>
          <w:ilvl w:val="0"/>
          <w:numId w:val="6"/>
        </w:numPr>
        <w:ind w:firstLineChars="0"/>
        <w:rPr>
          <w:rFonts w:ascii="仿宋_GB2312" w:hAnsi="仿宋" w:eastAsia="仿宋_GB2312" w:cs="仿宋"/>
          <w:sz w:val="28"/>
          <w:szCs w:val="28"/>
        </w:rPr>
      </w:pPr>
      <w:r>
        <w:rPr>
          <w:rFonts w:ascii="仿宋_GB2312" w:hAnsi="仿宋" w:eastAsia="仿宋_GB2312" w:cs="仿宋"/>
          <w:sz w:val="28"/>
          <w:szCs w:val="28"/>
        </w:rPr>
        <w:t>漏报误报智能识别</w:t>
      </w:r>
      <w:r>
        <w:rPr>
          <w:rFonts w:hint="eastAsia" w:ascii="仿宋_GB2312" w:hAnsi="仿宋" w:eastAsia="仿宋_GB2312" w:cs="仿宋"/>
          <w:sz w:val="28"/>
          <w:szCs w:val="28"/>
        </w:rPr>
        <w:t>：</w:t>
      </w:r>
      <w:r>
        <w:rPr>
          <w:rFonts w:ascii="仿宋_GB2312" w:hAnsi="仿宋" w:eastAsia="仿宋_GB2312" w:cs="仿宋"/>
          <w:sz w:val="28"/>
          <w:szCs w:val="28"/>
        </w:rPr>
        <w:t>系统应支持基于多源数据交叉比对和风险模型的漏报误报识别机制：</w:t>
      </w:r>
    </w:p>
    <w:p w14:paraId="09F70889">
      <w:pPr>
        <w:pStyle w:val="15"/>
        <w:numPr>
          <w:ilvl w:val="1"/>
          <w:numId w:val="6"/>
        </w:numPr>
        <w:ind w:firstLineChars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将上报数据与住院病案、门诊日志、检验结果进行自动对账，识别未上报的疑似罕见病病例；</w:t>
      </w:r>
    </w:p>
    <w:p w14:paraId="2F4A595B">
      <w:pPr>
        <w:pStyle w:val="15"/>
        <w:numPr>
          <w:ilvl w:val="1"/>
          <w:numId w:val="6"/>
        </w:numPr>
        <w:ind w:firstLineChars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建立基于历史质控报告的风险预警阈值，当某机构某病种的上报数量或质量指标出现异常波动时自动预警。已有临床研究平台基于1380份质控报告建立了189个预警阈值，覆盖3个严重等级和21个分类维度，该系统方法可迁移至罕见病数据质控场景</w:t>
      </w:r>
    </w:p>
    <w:p w14:paraId="50C74008">
      <w:pPr>
        <w:widowControl/>
        <w:numPr>
          <w:ilvl w:val="0"/>
          <w:numId w:val="3"/>
        </w:numPr>
        <w:tabs>
          <w:tab w:val="clear" w:pos="312"/>
        </w:tabs>
        <w:adjustRightInd w:val="0"/>
        <w:snapToGrid w:val="0"/>
        <w:spacing w:line="360" w:lineRule="auto"/>
        <w:ind w:firstLine="420"/>
        <w:rPr>
          <w:rFonts w:ascii="仿宋_GB2312" w:hAnsi="仿宋" w:eastAsia="仿宋_GB2312" w:cs="仿宋"/>
          <w:sz w:val="28"/>
          <w:szCs w:val="28"/>
        </w:rPr>
      </w:pPr>
      <w:r>
        <w:rPr>
          <w:rFonts w:ascii="仿宋_GB2312" w:hAnsi="仿宋" w:eastAsia="仿宋_GB2312" w:cs="仿宋"/>
          <w:sz w:val="28"/>
          <w:szCs w:val="28"/>
        </w:rPr>
        <w:t>质控数据看板与持续改进</w:t>
      </w:r>
      <w:r>
        <w:rPr>
          <w:rFonts w:hint="eastAsia" w:ascii="仿宋_GB2312" w:hAnsi="仿宋" w:eastAsia="仿宋_GB2312" w:cs="仿宋"/>
          <w:sz w:val="28"/>
          <w:szCs w:val="28"/>
        </w:rPr>
        <w:t>：</w:t>
      </w:r>
      <w:r>
        <w:rPr>
          <w:rFonts w:ascii="仿宋_GB2312" w:hAnsi="仿宋" w:eastAsia="仿宋_GB2312" w:cs="仿宋"/>
          <w:sz w:val="28"/>
          <w:szCs w:val="28"/>
        </w:rPr>
        <w:t>系统应提供六西格玛质控看板，展示以下核心内容：</w:t>
      </w:r>
    </w:p>
    <w:p w14:paraId="07E6CDBF">
      <w:pPr>
        <w:pStyle w:val="15"/>
        <w:widowControl/>
        <w:numPr>
          <w:ilvl w:val="0"/>
          <w:numId w:val="7"/>
        </w:numPr>
        <w:adjustRightInd w:val="0"/>
        <w:snapToGrid w:val="0"/>
        <w:spacing w:line="360" w:lineRule="auto"/>
        <w:ind w:firstLineChars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全省16地州数据质量σ水平排名与趋势图。</w:t>
      </w:r>
    </w:p>
    <w:p w14:paraId="3C6FDCF2">
      <w:pPr>
        <w:pStyle w:val="15"/>
        <w:widowControl/>
        <w:numPr>
          <w:ilvl w:val="0"/>
          <w:numId w:val="7"/>
        </w:numPr>
        <w:adjustRightInd w:val="0"/>
        <w:snapToGrid w:val="0"/>
        <w:spacing w:line="360" w:lineRule="auto"/>
        <w:ind w:firstLineChars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各质控指标的控制图与预警状态。</w:t>
      </w:r>
    </w:p>
    <w:p w14:paraId="2A7C1179">
      <w:pPr>
        <w:pStyle w:val="15"/>
        <w:widowControl/>
        <w:numPr>
          <w:ilvl w:val="0"/>
          <w:numId w:val="7"/>
        </w:numPr>
        <w:adjustRightInd w:val="0"/>
        <w:snapToGrid w:val="0"/>
        <w:spacing w:line="360" w:lineRule="auto"/>
        <w:ind w:firstLineChars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DMAIC改进项目的进展跟踪与效果评价。</w:t>
      </w:r>
    </w:p>
    <w:p w14:paraId="74B71576">
      <w:pPr>
        <w:pStyle w:val="15"/>
        <w:widowControl/>
        <w:numPr>
          <w:ilvl w:val="0"/>
          <w:numId w:val="7"/>
        </w:numPr>
        <w:adjustRightInd w:val="0"/>
        <w:snapToGrid w:val="0"/>
        <w:spacing w:line="360" w:lineRule="auto"/>
        <w:ind w:firstLineChars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漏报误报案例库与根因分析报告。</w:t>
      </w:r>
    </w:p>
    <w:p w14:paraId="2EBF4D26">
      <w:pPr>
        <w:pStyle w:val="15"/>
        <w:widowControl/>
        <w:numPr>
          <w:ilvl w:val="0"/>
          <w:numId w:val="7"/>
        </w:numPr>
        <w:adjustRightInd w:val="0"/>
        <w:snapToGrid w:val="0"/>
        <w:spacing w:line="360" w:lineRule="auto"/>
        <w:ind w:firstLineChars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动态标杆目标达成情况与下一阶段目标。</w:t>
      </w:r>
    </w:p>
    <w:p w14:paraId="306C4264">
      <w:pPr>
        <w:pStyle w:val="15"/>
        <w:widowControl/>
        <w:numPr>
          <w:ilvl w:val="0"/>
          <w:numId w:val="7"/>
        </w:numPr>
        <w:adjustRightInd w:val="0"/>
        <w:snapToGrid w:val="0"/>
        <w:spacing w:line="360" w:lineRule="auto"/>
        <w:ind w:firstLineChars="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质控看板应支持按病种、地州、医院、时间维度下钻，自动生成质控月报/季报，并将改进任务推送至相关责任单位，形成“监测—预警—分析—改进—验证”的完整闭环。</w:t>
      </w:r>
    </w:p>
    <w:p w14:paraId="5BF0C5BE">
      <w:pPr>
        <w:pStyle w:val="3"/>
        <w:widowControl/>
        <w:adjustRightInd w:val="0"/>
        <w:snapToGrid w:val="0"/>
        <w:spacing w:beforeAutospacing="0" w:afterAutospacing="0" w:line="360" w:lineRule="auto"/>
        <w:ind w:firstLine="420"/>
        <w:rPr>
          <w:rFonts w:ascii="仿宋_GB2312" w:hAnsi="仿宋" w:eastAsia="仿宋_GB2312" w:cs="仿宋"/>
          <w:sz w:val="28"/>
          <w:szCs w:val="28"/>
        </w:rPr>
      </w:pPr>
      <w:r>
        <w:rPr>
          <w:rFonts w:ascii="仿宋_GB2312" w:hAnsi="仿宋" w:eastAsia="仿宋_GB2312" w:cs="仿宋"/>
          <w:sz w:val="28"/>
          <w:szCs w:val="28"/>
        </w:rPr>
        <w:t>3.3 院内辅助诊疗系统</w:t>
      </w:r>
    </w:p>
    <w:p w14:paraId="28244CDD">
      <w:pPr>
        <w:pStyle w:val="15"/>
        <w:widowControl/>
        <w:numPr>
          <w:ilvl w:val="0"/>
          <w:numId w:val="8"/>
        </w:numPr>
        <w:adjustRightInd w:val="0"/>
        <w:snapToGrid w:val="0"/>
        <w:spacing w:line="360" w:lineRule="auto"/>
        <w:ind w:firstLineChars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整合基因检测、知识库、鉴别诊断推荐、治疗建议。</w:t>
      </w:r>
    </w:p>
    <w:p w14:paraId="519AE805">
      <w:pPr>
        <w:pStyle w:val="15"/>
        <w:widowControl/>
        <w:numPr>
          <w:ilvl w:val="0"/>
          <w:numId w:val="8"/>
        </w:numPr>
        <w:adjustRightInd w:val="0"/>
        <w:snapToGrid w:val="0"/>
        <w:spacing w:line="360" w:lineRule="auto"/>
        <w:ind w:firstLineChars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AI提示须可解释，展示依据、置信度、来源，医生确认或驳回后留痕。</w:t>
      </w:r>
    </w:p>
    <w:p w14:paraId="7F01D5AE">
      <w:pPr>
        <w:pStyle w:val="15"/>
        <w:widowControl/>
        <w:numPr>
          <w:ilvl w:val="0"/>
          <w:numId w:val="8"/>
        </w:numPr>
        <w:adjustRightInd w:val="0"/>
        <w:snapToGrid w:val="0"/>
        <w:spacing w:line="360" w:lineRule="auto"/>
        <w:ind w:firstLineChars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不自动开医嘱、不自动诊断，不替代医生决策。</w:t>
      </w:r>
    </w:p>
    <w:p w14:paraId="75A99A38">
      <w:pPr>
        <w:pStyle w:val="15"/>
        <w:widowControl/>
        <w:numPr>
          <w:ilvl w:val="0"/>
          <w:numId w:val="8"/>
        </w:numPr>
        <w:adjustRightInd w:val="0"/>
        <w:snapToGrid w:val="0"/>
        <w:spacing w:line="360" w:lineRule="auto"/>
        <w:ind w:firstLineChars="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辅助推荐响应时间建议≤5秒，知识库支持定期更新与版本管理。</w:t>
      </w:r>
    </w:p>
    <w:p w14:paraId="6B227020">
      <w:pPr>
        <w:pStyle w:val="3"/>
        <w:widowControl/>
        <w:adjustRightInd w:val="0"/>
        <w:snapToGrid w:val="0"/>
        <w:spacing w:beforeAutospacing="0" w:afterAutospacing="0" w:line="360" w:lineRule="auto"/>
        <w:ind w:firstLine="420"/>
        <w:rPr>
          <w:rFonts w:ascii="仿宋_GB2312" w:hAnsi="仿宋" w:eastAsia="仿宋_GB2312" w:cs="仿宋"/>
          <w:sz w:val="28"/>
          <w:szCs w:val="28"/>
        </w:rPr>
      </w:pPr>
      <w:r>
        <w:rPr>
          <w:rFonts w:ascii="仿宋_GB2312" w:hAnsi="仿宋" w:eastAsia="仿宋_GB2312" w:cs="仿宋"/>
          <w:sz w:val="28"/>
          <w:szCs w:val="28"/>
        </w:rPr>
        <w:t>3.4 规范化审核系统</w:t>
      </w:r>
    </w:p>
    <w:p w14:paraId="1BD5DE6E">
      <w:pPr>
        <w:pStyle w:val="3"/>
        <w:numPr>
          <w:ilvl w:val="0"/>
          <w:numId w:val="9"/>
        </w:numPr>
        <w:adjustRightInd w:val="0"/>
        <w:snapToGrid w:val="0"/>
        <w:spacing w:line="360" w:lineRule="auto"/>
        <w:rPr>
          <w:rFonts w:ascii="仿宋_GB2312" w:hAnsi="仿宋" w:eastAsia="仿宋_GB2312" w:cs="仿宋"/>
          <w:b w:val="0"/>
          <w:bCs w:val="0"/>
          <w:sz w:val="28"/>
          <w:szCs w:val="28"/>
        </w:rPr>
      </w:pPr>
      <w:r>
        <w:rPr>
          <w:rFonts w:ascii="仿宋_GB2312" w:hAnsi="仿宋" w:eastAsia="仿宋_GB2312" w:cs="仿宋"/>
          <w:b w:val="0"/>
          <w:bCs w:val="0"/>
          <w:sz w:val="28"/>
          <w:szCs w:val="28"/>
        </w:rPr>
        <w:t>对诊疗过程进行质控监测，统计疑似病例、风险变量、治疗方案等指标。</w:t>
      </w:r>
    </w:p>
    <w:p w14:paraId="76C2E372">
      <w:pPr>
        <w:pStyle w:val="3"/>
        <w:numPr>
          <w:ilvl w:val="0"/>
          <w:numId w:val="9"/>
        </w:numPr>
        <w:adjustRightInd w:val="0"/>
        <w:snapToGrid w:val="0"/>
        <w:spacing w:line="360" w:lineRule="auto"/>
        <w:rPr>
          <w:rFonts w:ascii="仿宋_GB2312" w:hAnsi="仿宋" w:eastAsia="仿宋_GB2312" w:cs="仿宋"/>
          <w:b w:val="0"/>
          <w:bCs w:val="0"/>
          <w:sz w:val="28"/>
          <w:szCs w:val="28"/>
        </w:rPr>
      </w:pPr>
      <w:r>
        <w:rPr>
          <w:rFonts w:ascii="仿宋_GB2312" w:hAnsi="仿宋" w:eastAsia="仿宋_GB2312" w:cs="仿宋"/>
          <w:b w:val="0"/>
          <w:bCs w:val="0"/>
          <w:sz w:val="28"/>
          <w:szCs w:val="28"/>
        </w:rPr>
        <w:t>规则引擎可配置，支持自动审核+人工复核。</w:t>
      </w:r>
    </w:p>
    <w:p w14:paraId="2D9C832D">
      <w:pPr>
        <w:pStyle w:val="3"/>
        <w:numPr>
          <w:ilvl w:val="0"/>
          <w:numId w:val="9"/>
        </w:numPr>
        <w:adjustRightInd w:val="0"/>
        <w:snapToGrid w:val="0"/>
        <w:spacing w:line="360" w:lineRule="auto"/>
        <w:rPr>
          <w:rFonts w:ascii="仿宋_GB2312" w:hAnsi="仿宋" w:eastAsia="仿宋_GB2312" w:cs="仿宋"/>
          <w:b w:val="0"/>
          <w:bCs w:val="0"/>
          <w:sz w:val="28"/>
          <w:szCs w:val="28"/>
        </w:rPr>
      </w:pPr>
      <w:r>
        <w:rPr>
          <w:rFonts w:ascii="仿宋_GB2312" w:hAnsi="仿宋" w:eastAsia="仿宋_GB2312" w:cs="仿宋"/>
          <w:b w:val="0"/>
          <w:bCs w:val="0"/>
          <w:sz w:val="28"/>
          <w:szCs w:val="28"/>
        </w:rPr>
        <w:t>审核、退回、整改、复核全流程留痕，形成闭环。</w:t>
      </w:r>
    </w:p>
    <w:p w14:paraId="213E8819">
      <w:pPr>
        <w:pStyle w:val="3"/>
        <w:numPr>
          <w:ilvl w:val="0"/>
          <w:numId w:val="9"/>
        </w:numPr>
        <w:adjustRightInd w:val="0"/>
        <w:snapToGrid w:val="0"/>
        <w:spacing w:line="360" w:lineRule="auto"/>
        <w:rPr>
          <w:rFonts w:ascii="仿宋_GB2312" w:hAnsi="仿宋" w:eastAsia="仿宋_GB2312" w:cs="仿宋"/>
          <w:b w:val="0"/>
          <w:bCs w:val="0"/>
          <w:sz w:val="28"/>
          <w:szCs w:val="28"/>
        </w:rPr>
      </w:pPr>
      <w:r>
        <w:rPr>
          <w:rFonts w:ascii="仿宋_GB2312" w:hAnsi="仿宋" w:eastAsia="仿宋_GB2312" w:cs="仿宋"/>
          <w:b w:val="0"/>
          <w:bCs w:val="0"/>
          <w:sz w:val="28"/>
          <w:szCs w:val="28"/>
        </w:rPr>
        <w:t>支持按病种、医院、地州、时间段生成质控报告。</w:t>
      </w:r>
    </w:p>
    <w:p w14:paraId="6CA236E1">
      <w:pPr>
        <w:pStyle w:val="3"/>
        <w:widowControl/>
        <w:adjustRightInd w:val="0"/>
        <w:snapToGrid w:val="0"/>
        <w:spacing w:beforeAutospacing="0" w:afterAutospacing="0" w:line="360" w:lineRule="auto"/>
        <w:ind w:firstLine="420"/>
        <w:rPr>
          <w:rFonts w:hint="default" w:ascii="仿宋_GB2312" w:hAnsi="仿宋" w:eastAsia="仿宋_GB2312" w:cs="仿宋"/>
          <w:sz w:val="28"/>
          <w:szCs w:val="28"/>
        </w:rPr>
      </w:pPr>
      <w:r>
        <w:rPr>
          <w:rFonts w:ascii="仿宋_GB2312" w:hAnsi="仿宋" w:eastAsia="仿宋_GB2312" w:cs="仿宋"/>
          <w:sz w:val="28"/>
          <w:szCs w:val="28"/>
        </w:rPr>
        <w:t>3.5 专病知识库与科研平台</w:t>
      </w:r>
    </w:p>
    <w:p w14:paraId="4A02C8D8">
      <w:pPr>
        <w:pStyle w:val="15"/>
        <w:numPr>
          <w:ilvl w:val="0"/>
          <w:numId w:val="10"/>
        </w:numPr>
        <w:ind w:firstLineChars="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实现诊疗数据标准化治理、存储、CRF病例管理、科研队列、随访管理。</w:t>
      </w:r>
    </w:p>
    <w:p w14:paraId="67DFD225">
      <w:pPr>
        <w:pStyle w:val="15"/>
        <w:numPr>
          <w:ilvl w:val="0"/>
          <w:numId w:val="10"/>
        </w:numPr>
        <w:ind w:firstLineChars="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支持多中心科研、脱敏导出、统计分析、伦理与授权管理。</w:t>
      </w:r>
    </w:p>
    <w:p w14:paraId="288CF292">
      <w:pPr>
        <w:pStyle w:val="15"/>
        <w:numPr>
          <w:ilvl w:val="0"/>
          <w:numId w:val="10"/>
        </w:numPr>
        <w:ind w:firstLineChars="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数据最小必要使用，所有导出、访问、修改可审计。</w:t>
      </w:r>
    </w:p>
    <w:p w14:paraId="21E19DB4">
      <w:pPr>
        <w:pStyle w:val="3"/>
        <w:widowControl/>
        <w:adjustRightInd w:val="0"/>
        <w:snapToGrid w:val="0"/>
        <w:spacing w:beforeAutospacing="0" w:afterAutospacing="0" w:line="360" w:lineRule="auto"/>
        <w:ind w:firstLine="420"/>
        <w:rPr>
          <w:rFonts w:ascii="仿宋_GB2312" w:hAnsi="仿宋" w:eastAsia="仿宋_GB2312" w:cs="仿宋"/>
          <w:sz w:val="28"/>
          <w:szCs w:val="28"/>
        </w:rPr>
      </w:pPr>
      <w:r>
        <w:rPr>
          <w:rFonts w:ascii="仿宋_GB2312" w:hAnsi="仿宋" w:eastAsia="仿宋_GB2312" w:cs="仿宋"/>
          <w:sz w:val="28"/>
          <w:szCs w:val="28"/>
        </w:rPr>
        <w:t>3.6 合同及安装验收管理</w:t>
      </w:r>
    </w:p>
    <w:p w14:paraId="676BD45C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3.6.1 合同管理</w:t>
      </w:r>
    </w:p>
    <w:p w14:paraId="2EBEC2B0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1.对接HRP系统，接收流转到HRP系统的完整版合同盖章扫描件，提取合同信息（单价、供应商、质保等）。</w:t>
      </w:r>
    </w:p>
    <w:p w14:paraId="673F97AD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2.支持合同付款计划管理，按合同约定设置付款节点，到期自动提醒；可记录各节点实际付款情况。</w:t>
      </w:r>
    </w:p>
    <w:p w14:paraId="0DAABB77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3.合同可关联后续安装验收单、设备台账档案，实现采购</w:t>
      </w:r>
      <w:r>
        <w:rPr>
          <w:rFonts w:hint="eastAsia" w:ascii="仿宋_GB2312" w:hAnsi="仿宋" w:eastAsia="仿宋_GB2312" w:cs="仿宋"/>
          <w:sz w:val="28"/>
          <w:szCs w:val="28"/>
        </w:rPr>
        <w:noBreakHyphen/>
      </w:r>
      <w:r>
        <w:rPr>
          <w:rFonts w:hint="eastAsia" w:ascii="仿宋_GB2312" w:hAnsi="仿宋" w:eastAsia="仿宋_GB2312" w:cs="仿宋"/>
          <w:sz w:val="28"/>
          <w:szCs w:val="28"/>
        </w:rPr>
        <w:t>合同</w:t>
      </w:r>
      <w:r>
        <w:rPr>
          <w:rFonts w:hint="eastAsia" w:ascii="仿宋_GB2312" w:hAnsi="仿宋" w:eastAsia="仿宋_GB2312" w:cs="仿宋"/>
          <w:sz w:val="28"/>
          <w:szCs w:val="28"/>
        </w:rPr>
        <w:noBreakHyphen/>
      </w:r>
      <w:r>
        <w:rPr>
          <w:rFonts w:hint="eastAsia" w:ascii="仿宋_GB2312" w:hAnsi="仿宋" w:eastAsia="仿宋_GB2312" w:cs="仿宋"/>
          <w:sz w:val="28"/>
          <w:szCs w:val="28"/>
        </w:rPr>
        <w:t>验收</w:t>
      </w:r>
      <w:r>
        <w:rPr>
          <w:rFonts w:hint="eastAsia" w:ascii="仿宋_GB2312" w:hAnsi="仿宋" w:eastAsia="仿宋_GB2312" w:cs="仿宋"/>
          <w:sz w:val="28"/>
          <w:szCs w:val="28"/>
        </w:rPr>
        <w:noBreakHyphen/>
      </w:r>
      <w:r>
        <w:rPr>
          <w:rFonts w:hint="eastAsia" w:ascii="仿宋_GB2312" w:hAnsi="仿宋" w:eastAsia="仿宋_GB2312" w:cs="仿宋"/>
          <w:sz w:val="28"/>
          <w:szCs w:val="28"/>
        </w:rPr>
        <w:t>资产档案业务链条打通。</w:t>
      </w:r>
    </w:p>
    <w:p w14:paraId="4B1ABA73">
      <w:pPr>
        <w:adjustRightInd w:val="0"/>
        <w:snapToGrid w:val="0"/>
        <w:spacing w:line="360" w:lineRule="auto"/>
        <w:ind w:firstLine="42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4.支持合同到期预警，可按合同维保到期、服务到期设置提醒。</w:t>
      </w:r>
    </w:p>
    <w:p w14:paraId="01A93B4A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</w:p>
    <w:p w14:paraId="5B6FA9CA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3.6.2 安装验收</w:t>
      </w:r>
    </w:p>
    <w:p w14:paraId="65D18651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1.支持线上填写安装验收单、培训表等验收相关表格，实现验收流程的数字化管理。支持线上签名、扫码签名、拍照上传等多种确认方式。</w:t>
      </w:r>
    </w:p>
    <w:p w14:paraId="321ACCC2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2.提供合同关联安装验收单、培训表等验收相关资料功能，确保验收资料的完整性和可追溯性。</w:t>
      </w:r>
    </w:p>
    <w:p w14:paraId="492E0791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3.支持批量安装审核、一键生成入库单等批量处理功能，提高工作效率。</w:t>
      </w:r>
    </w:p>
    <w:p w14:paraId="05E51E65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4.对需计量的医疗设备进行首次计量检查，支持批量录入计量信息，</w:t>
      </w:r>
    </w:p>
    <w:p w14:paraId="41CBBE91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5.验收完成后，生成验收档案，包含合格证照片、铭牌照片、说明书、开箱记录、培训记录等。验收全部资料与合同、设备电子档案绑定归档，支持随时调阅查询。</w:t>
      </w:r>
    </w:p>
    <w:p w14:paraId="405A8B28">
      <w:pPr>
        <w:pStyle w:val="3"/>
        <w:widowControl/>
        <w:adjustRightInd w:val="0"/>
        <w:snapToGrid w:val="0"/>
        <w:spacing w:beforeAutospacing="0" w:afterAutospacing="0" w:line="360" w:lineRule="auto"/>
        <w:ind w:firstLine="420"/>
        <w:rPr>
          <w:rFonts w:ascii="仿宋_GB2312" w:hAnsi="仿宋" w:eastAsia="仿宋_GB2312" w:cs="仿宋"/>
          <w:sz w:val="28"/>
          <w:szCs w:val="28"/>
        </w:rPr>
      </w:pPr>
      <w:r>
        <w:rPr>
          <w:rFonts w:ascii="仿宋_GB2312" w:hAnsi="仿宋" w:eastAsia="仿宋_GB2312" w:cs="仿宋"/>
          <w:sz w:val="28"/>
          <w:szCs w:val="28"/>
        </w:rPr>
        <w:t>3.7 设备效益分析</w:t>
      </w:r>
    </w:p>
    <w:p w14:paraId="6ADD586B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hAnsi="仿宋" w:eastAsia="仿宋_GB2312" w:cs="仿宋"/>
          <w:sz w:val="28"/>
          <w:szCs w:val="28"/>
        </w:rPr>
        <w:t>填补省级罕见病数据空白：建立覆盖16地州的独立罕见病数据库，改变依赖国家网粗颗粒数据、省医评中心和妇幼系统无法抓取罕见病专项数据的局面，为政府决策、医保准入、药物可及性评估提供数据支撑。</w:t>
      </w:r>
    </w:p>
    <w:p w14:paraId="34D59D21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2.提升罕见病防治公平性：通过区域筛查系统和地州辐射，推动优质诊疗能力下沉，减少基层“不会识、不敢报、转不出”的问题，使偏远地区患者也能获得规范筛查、转诊和随访管理。</w:t>
      </w:r>
    </w:p>
    <w:p w14:paraId="2996ADA5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3.减少漏诊误诊与患者流失：罕见病普遍存在诊断周期长、误诊率高、患者流失严重等问题。系统通过疑似病例识别、风险预警和全流程管理，将漏诊流失患者重新纳入规范诊疗路径，改善患者生存质量。</w:t>
      </w:r>
    </w:p>
    <w:p w14:paraId="422B19D2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4.支撑健康云南和罕见病政策落地：为省级罕见病目录、诊疗规范、质控指标、医保支付和药品保障提供动态数据，助力国家罕见病防治政策在云南落地。</w:t>
      </w:r>
    </w:p>
    <w:p w14:paraId="0A8A5D64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5.</w:t>
      </w:r>
      <w:r>
        <w:rPr>
          <w:rFonts w:ascii="仿宋_GB2312" w:hAnsi="仿宋" w:eastAsia="仿宋_GB2312" w:cs="仿宋"/>
          <w:sz w:val="28"/>
          <w:szCs w:val="28"/>
        </w:rPr>
        <w:t>质控管理从人工抽查转向智能监控</w:t>
      </w:r>
      <w:r>
        <w:rPr>
          <w:rFonts w:hint="eastAsia" w:ascii="仿宋_GB2312" w:hAnsi="仿宋" w:eastAsia="仿宋_GB2312" w:cs="仿宋"/>
          <w:sz w:val="28"/>
          <w:szCs w:val="28"/>
        </w:rPr>
        <w:t>：</w:t>
      </w:r>
      <w:r>
        <w:rPr>
          <w:rFonts w:ascii="仿宋_GB2312" w:hAnsi="仿宋" w:eastAsia="仿宋_GB2312" w:cs="仿宋"/>
          <w:sz w:val="28"/>
          <w:szCs w:val="28"/>
        </w:rPr>
        <w:t>系统支持省、地州、医院、科室多级看板，自动统计筛查率、确诊率、上报及时率、完整率、规范治疗率、随访率、漏报率、误报率等核心指标，大幅降低人工汇总和逐级催报成本。</w:t>
      </w:r>
    </w:p>
    <w:p w14:paraId="0A09A698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6.数据上报质量显著提升：通过规则引擎实时校验、六西格玛DMAIC改进、SPC控制图动态监控和多级预警，实现数据质量的可量化、可预警、可闭环。针对同型半胱氨酸上报错误等案例，系统内置专项预警并要求上传报告单佐证，做到“错误可识别、异常可追溯、责任可定位”。</w:t>
      </w:r>
    </w:p>
    <w:p w14:paraId="2F48D97B">
      <w:pPr>
        <w:pStyle w:val="3"/>
        <w:widowControl/>
        <w:adjustRightInd w:val="0"/>
        <w:snapToGrid w:val="0"/>
        <w:spacing w:beforeAutospacing="0" w:afterAutospacing="0" w:line="360" w:lineRule="auto"/>
        <w:ind w:firstLine="420"/>
        <w:rPr>
          <w:rFonts w:ascii="仿宋_GB2312" w:hAnsi="仿宋" w:eastAsia="仿宋_GB2312" w:cs="仿宋"/>
          <w:sz w:val="28"/>
          <w:szCs w:val="28"/>
        </w:rPr>
      </w:pPr>
      <w:r>
        <w:rPr>
          <w:rFonts w:ascii="仿宋_GB2312" w:hAnsi="仿宋" w:eastAsia="仿宋_GB2312" w:cs="仿宋"/>
          <w:sz w:val="28"/>
          <w:szCs w:val="28"/>
        </w:rPr>
        <w:t>3.8 设备运维管理</w:t>
      </w:r>
    </w:p>
    <w:p w14:paraId="18CC095F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设备运维管理模块包括维修管理、维护管理、质控管理、计量管理等子模块。</w:t>
      </w:r>
    </w:p>
    <w:p w14:paraId="66903223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3.8.1 维修管理</w:t>
      </w:r>
    </w:p>
    <w:p w14:paraId="44E0647F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1.支持 PC 端、移动端扫码（二维码/条形码）一键报修，报修信息包含故障现象、故障科室、联系人、故障附件图片上传。</w:t>
      </w:r>
    </w:p>
    <w:p w14:paraId="6F7C38AC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2.支持维修工单自动/手动派工，支持院内工程师、第三方外修工单分类管理；工单状态：待派工、维修中、待确认、已完成、作废，全流程闭环管理。</w:t>
      </w:r>
    </w:p>
    <w:p w14:paraId="0B9704D7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3.维修过程记录：故障原因、处理措施、更换配件、维修工时、维修费用等信息录入存档。</w:t>
      </w:r>
    </w:p>
    <w:p w14:paraId="3BA16461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4.维修完成后使用科室可线上确认维修结果，并提供服务评价功能。</w:t>
      </w:r>
    </w:p>
    <w:p w14:paraId="3994A086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5.支持故障告警联动：物联网采集到设备故障告警时，系统可自动生成报修提醒工单。</w:t>
      </w:r>
    </w:p>
    <w:p w14:paraId="15DF12DE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6.支持维修工单多条件查询，统计维修频次、故障类型、维修费用，维修记录自动归入设备电子档案。</w:t>
      </w:r>
    </w:p>
    <w:p w14:paraId="29E38E7D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7.提供工程师工作台，集中展示本人待处理维修工单、维护任务及相关到期提醒，维修工程师可通过工作台查看维修维保工单。</w:t>
      </w:r>
    </w:p>
    <w:p w14:paraId="19DE21F6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</w:p>
    <w:p w14:paraId="79C997F4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3.8.2 维护管理</w:t>
      </w:r>
    </w:p>
    <w:p w14:paraId="45D777AE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建立基于维保合同的维护计划管理体系，支持根据维保合同内容自动生成维护计划，支持设备科自定义设备维护计划。提供维护保养检测项目管理功能，能够根据设备类型配置不同的检测项目。系统具备维护计划和维保合同到期提醒功能，确保维护工作的及时性。</w:t>
      </w:r>
    </w:p>
    <w:p w14:paraId="3B1F8FF9">
      <w:pPr>
        <w:adjustRightInd w:val="0"/>
        <w:snapToGrid w:val="0"/>
        <w:spacing w:line="360" w:lineRule="auto"/>
        <w:rPr>
          <w:rFonts w:hint="eastAsia" w:ascii="仿宋_GB2312" w:hAnsi="仿宋" w:eastAsia="仿宋_GB2312" w:cs="仿宋"/>
          <w:sz w:val="28"/>
          <w:szCs w:val="28"/>
        </w:rPr>
      </w:pPr>
    </w:p>
    <w:p w14:paraId="44E31534">
      <w:pPr>
        <w:pStyle w:val="3"/>
        <w:widowControl/>
        <w:adjustRightInd w:val="0"/>
        <w:snapToGrid w:val="0"/>
        <w:spacing w:beforeAutospacing="0" w:afterAutospacing="0" w:line="360" w:lineRule="auto"/>
        <w:ind w:firstLine="420"/>
        <w:rPr>
          <w:rFonts w:ascii="仿宋_GB2312" w:hAnsi="仿宋" w:eastAsia="仿宋_GB2312" w:cs="仿宋"/>
          <w:sz w:val="28"/>
          <w:szCs w:val="28"/>
        </w:rPr>
      </w:pPr>
      <w:r>
        <w:rPr>
          <w:rFonts w:ascii="仿宋_GB2312" w:hAnsi="仿宋" w:eastAsia="仿宋_GB2312" w:cs="仿宋"/>
          <w:sz w:val="28"/>
          <w:szCs w:val="28"/>
        </w:rPr>
        <w:t>3.9 不良事件管理</w:t>
      </w:r>
    </w:p>
    <w:p w14:paraId="56B14C3F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1.支持 PC 端、移动端双端上报医疗器械可疑不良事件，上报表单字段可配置，支持上传故障照片、故障描述等附件。</w:t>
      </w:r>
    </w:p>
    <w:p w14:paraId="6AC6FD5A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2.支持院内不良事件内部流转处置流程，可分配处置责任人，记录处置过程、处置结果。</w:t>
      </w:r>
    </w:p>
    <w:p w14:paraId="6EF2582F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3.具备对接院内不良事件平台、国家医疗器械不良事件平台能力，实现数据字段映射、数据上报传输。</w:t>
      </w:r>
    </w:p>
    <w:p w14:paraId="622DF1E4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4.不良事件记录与对应设备档案关联，可查看同一设备历史不良事件记录。</w:t>
      </w:r>
    </w:p>
    <w:p w14:paraId="17A5AA8C">
      <w:pPr>
        <w:adjustRightInd w:val="0"/>
        <w:snapToGrid w:val="0"/>
        <w:spacing w:line="360" w:lineRule="auto"/>
        <w:ind w:firstLine="42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5.支持多条件查询不良事件上报记录，支持统计分析上报数量、设备类型分布。</w:t>
      </w:r>
    </w:p>
    <w:p w14:paraId="13A93DD8">
      <w:pPr>
        <w:pStyle w:val="2"/>
        <w:widowControl/>
        <w:adjustRightInd w:val="0"/>
        <w:snapToGrid w:val="0"/>
        <w:spacing w:beforeAutospacing="0" w:afterAutospacing="0" w:line="360" w:lineRule="auto"/>
        <w:rPr>
          <w:rFonts w:ascii="仿宋_GB2312" w:hAnsi="仿宋" w:eastAsia="仿宋_GB2312" w:cs="仿宋"/>
          <w:sz w:val="28"/>
          <w:szCs w:val="28"/>
        </w:rPr>
      </w:pPr>
      <w:r>
        <w:rPr>
          <w:rFonts w:ascii="仿宋_GB2312" w:hAnsi="仿宋" w:eastAsia="仿宋_GB2312" w:cs="仿宋"/>
          <w:sz w:val="28"/>
          <w:szCs w:val="28"/>
        </w:rPr>
        <w:t>四、关键技术性能指标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4"/>
        <w:gridCol w:w="7522"/>
      </w:tblGrid>
      <w:tr w14:paraId="62409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7130A306">
            <w:pPr>
              <w:pStyle w:val="2"/>
              <w:widowControl/>
              <w:adjustRightInd w:val="0"/>
              <w:snapToGrid w:val="0"/>
              <w:spacing w:beforeAutospacing="0" w:afterAutospacing="0" w:line="360" w:lineRule="auto"/>
              <w:rPr>
                <w:rFonts w:hint="default"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  <w:t>类别</w:t>
            </w:r>
          </w:p>
        </w:tc>
        <w:tc>
          <w:tcPr>
            <w:tcW w:w="7716" w:type="dxa"/>
          </w:tcPr>
          <w:p w14:paraId="71EB12E4">
            <w:pPr>
              <w:pStyle w:val="2"/>
              <w:widowControl/>
              <w:adjustRightInd w:val="0"/>
              <w:snapToGrid w:val="0"/>
              <w:spacing w:beforeAutospacing="0" w:afterAutospacing="0" w:line="360" w:lineRule="auto"/>
              <w:rPr>
                <w:rFonts w:hint="default"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  <w:t>核心指标</w:t>
            </w:r>
          </w:p>
        </w:tc>
      </w:tr>
      <w:tr w14:paraId="18F6A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63BEF012">
            <w:pPr>
              <w:pStyle w:val="2"/>
              <w:widowControl/>
              <w:adjustRightInd w:val="0"/>
              <w:snapToGrid w:val="0"/>
              <w:spacing w:beforeAutospacing="0" w:afterAutospacing="0" w:line="360" w:lineRule="auto"/>
              <w:rPr>
                <w:rFonts w:hint="default"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  <w:t>覆盖范围</w:t>
            </w:r>
          </w:p>
        </w:tc>
        <w:tc>
          <w:tcPr>
            <w:tcW w:w="7716" w:type="dxa"/>
          </w:tcPr>
          <w:p w14:paraId="2F0CCBE4">
            <w:pPr>
              <w:pStyle w:val="2"/>
              <w:widowControl/>
              <w:adjustRightInd w:val="0"/>
              <w:snapToGrid w:val="0"/>
              <w:spacing w:beforeAutospacing="0" w:afterAutospacing="0" w:line="360" w:lineRule="auto"/>
              <w:rPr>
                <w:rFonts w:hint="default"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  <w:t>支持16地州、省级中心、网络医院多级接入，可横向扩展</w:t>
            </w:r>
          </w:p>
        </w:tc>
      </w:tr>
      <w:tr w14:paraId="5A334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4A36B167">
            <w:pPr>
              <w:pStyle w:val="2"/>
              <w:widowControl/>
              <w:adjustRightInd w:val="0"/>
              <w:snapToGrid w:val="0"/>
              <w:spacing w:beforeAutospacing="0" w:afterAutospacing="0" w:line="360" w:lineRule="auto"/>
              <w:rPr>
                <w:rFonts w:hint="default"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  <w:t>并发能力</w:t>
            </w:r>
          </w:p>
        </w:tc>
        <w:tc>
          <w:tcPr>
            <w:tcW w:w="7716" w:type="dxa"/>
          </w:tcPr>
          <w:p w14:paraId="2F408B78">
            <w:pPr>
              <w:pStyle w:val="2"/>
              <w:widowControl/>
              <w:adjustRightInd w:val="0"/>
              <w:snapToGrid w:val="0"/>
              <w:spacing w:beforeAutospacing="0" w:afterAutospacing="0" w:line="360" w:lineRule="auto"/>
              <w:rPr>
                <w:rFonts w:hint="default"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  <w:t>建议初期≥300并发，可扩展至≥1000并发</w:t>
            </w:r>
          </w:p>
        </w:tc>
      </w:tr>
      <w:tr w14:paraId="0F4A6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7C1BB06F">
            <w:pPr>
              <w:pStyle w:val="2"/>
              <w:widowControl/>
              <w:adjustRightInd w:val="0"/>
              <w:snapToGrid w:val="0"/>
              <w:spacing w:beforeAutospacing="0" w:afterAutospacing="0" w:line="360" w:lineRule="auto"/>
              <w:rPr>
                <w:rFonts w:hint="default"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  <w:t>响应时间</w:t>
            </w:r>
          </w:p>
        </w:tc>
        <w:tc>
          <w:tcPr>
            <w:tcW w:w="7716" w:type="dxa"/>
          </w:tcPr>
          <w:p w14:paraId="4D4C9DB1">
            <w:pPr>
              <w:pStyle w:val="2"/>
              <w:widowControl/>
              <w:adjustRightInd w:val="0"/>
              <w:snapToGrid w:val="0"/>
              <w:spacing w:beforeAutospacing="0" w:afterAutospacing="0" w:line="360" w:lineRule="auto"/>
              <w:rPr>
                <w:rFonts w:hint="default"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  <w:t>普通页面≤2秒，查询≤3秒，复杂统计≤10秒，报表≤30秒，AI辅助≤5秒</w:t>
            </w:r>
          </w:p>
        </w:tc>
      </w:tr>
      <w:tr w14:paraId="22C99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33D5E594">
            <w:pPr>
              <w:pStyle w:val="2"/>
              <w:widowControl/>
              <w:adjustRightInd w:val="0"/>
              <w:snapToGrid w:val="0"/>
              <w:spacing w:beforeAutospacing="0" w:afterAutospacing="0" w:line="360" w:lineRule="auto"/>
              <w:rPr>
                <w:rFonts w:hint="default"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  <w:t>批量处理</w:t>
            </w:r>
          </w:p>
        </w:tc>
        <w:tc>
          <w:tcPr>
            <w:tcW w:w="7716" w:type="dxa"/>
          </w:tcPr>
          <w:p w14:paraId="2FD53E73">
            <w:pPr>
              <w:pStyle w:val="2"/>
              <w:widowControl/>
              <w:adjustRightInd w:val="0"/>
              <w:snapToGrid w:val="0"/>
              <w:spacing w:beforeAutospacing="0" w:afterAutospacing="0" w:line="360" w:lineRule="auto"/>
              <w:rPr>
                <w:rFonts w:hint="default"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  <w:t>批量导入≥1000条/分钟，支持大文件、报告单、基因文件断点续传</w:t>
            </w:r>
          </w:p>
        </w:tc>
      </w:tr>
      <w:tr w14:paraId="650F8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2B21B10C">
            <w:pPr>
              <w:pStyle w:val="2"/>
              <w:widowControl/>
              <w:adjustRightInd w:val="0"/>
              <w:snapToGrid w:val="0"/>
              <w:spacing w:beforeAutospacing="0" w:afterAutospacing="0" w:line="360" w:lineRule="auto"/>
              <w:rPr>
                <w:rFonts w:hint="default"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  <w:t>可用性</w:t>
            </w:r>
          </w:p>
        </w:tc>
        <w:tc>
          <w:tcPr>
            <w:tcW w:w="7716" w:type="dxa"/>
          </w:tcPr>
          <w:p w14:paraId="4691DE71">
            <w:pPr>
              <w:pStyle w:val="2"/>
              <w:widowControl/>
              <w:adjustRightInd w:val="0"/>
              <w:snapToGrid w:val="0"/>
              <w:spacing w:beforeAutospacing="0" w:afterAutospacing="0" w:line="360" w:lineRule="auto"/>
              <w:rPr>
                <w:rFonts w:hint="default"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  <w:t>核心服务≥99.9%，整体≥99.5%，7×24小时运行</w:t>
            </w:r>
          </w:p>
        </w:tc>
      </w:tr>
      <w:tr w14:paraId="122C5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1ED59335">
            <w:pPr>
              <w:pStyle w:val="2"/>
              <w:widowControl/>
              <w:adjustRightInd w:val="0"/>
              <w:snapToGrid w:val="0"/>
              <w:spacing w:beforeAutospacing="0" w:afterAutospacing="0" w:line="360" w:lineRule="auto"/>
              <w:rPr>
                <w:rFonts w:hint="default"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  <w:t>灾备</w:t>
            </w:r>
          </w:p>
        </w:tc>
        <w:tc>
          <w:tcPr>
            <w:tcW w:w="7716" w:type="dxa"/>
          </w:tcPr>
          <w:p w14:paraId="027D0B6F">
            <w:pPr>
              <w:pStyle w:val="2"/>
              <w:widowControl/>
              <w:adjustRightInd w:val="0"/>
              <w:snapToGrid w:val="0"/>
              <w:spacing w:beforeAutospacing="0" w:afterAutospacing="0" w:line="360" w:lineRule="auto"/>
              <w:rPr>
                <w:rFonts w:hint="default"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  <w:t>RTO≤4小时，RPO≤15分钟，支持本地+异地备份</w:t>
            </w:r>
          </w:p>
        </w:tc>
      </w:tr>
      <w:tr w14:paraId="3DF23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4A172A23">
            <w:pPr>
              <w:pStyle w:val="2"/>
              <w:widowControl/>
              <w:adjustRightInd w:val="0"/>
              <w:snapToGrid w:val="0"/>
              <w:spacing w:beforeAutospacing="0" w:afterAutospacing="0" w:line="360" w:lineRule="auto"/>
              <w:rPr>
                <w:rFonts w:hint="default"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  <w:t>存储</w:t>
            </w:r>
          </w:p>
        </w:tc>
        <w:tc>
          <w:tcPr>
            <w:tcW w:w="7716" w:type="dxa"/>
          </w:tcPr>
          <w:p w14:paraId="75B86471">
            <w:pPr>
              <w:pStyle w:val="2"/>
              <w:widowControl/>
              <w:adjustRightInd w:val="0"/>
              <w:snapToGrid w:val="0"/>
              <w:spacing w:beforeAutospacing="0" w:afterAutospacing="0" w:line="360" w:lineRule="auto"/>
              <w:rPr>
                <w:rFonts w:hint="default"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  <w:t>结构化数据满足长期留存，非结构化报告/基因文件支持TB级扩展、冷热分层</w:t>
            </w:r>
          </w:p>
        </w:tc>
      </w:tr>
      <w:tr w14:paraId="18813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10AF1616">
            <w:pPr>
              <w:pStyle w:val="2"/>
              <w:widowControl/>
              <w:adjustRightInd w:val="0"/>
              <w:snapToGrid w:val="0"/>
              <w:spacing w:beforeAutospacing="0" w:afterAutospacing="0" w:line="360" w:lineRule="auto"/>
              <w:rPr>
                <w:rFonts w:hint="default"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  <w:t>扩展性</w:t>
            </w:r>
          </w:p>
        </w:tc>
        <w:tc>
          <w:tcPr>
            <w:tcW w:w="7716" w:type="dxa"/>
          </w:tcPr>
          <w:p w14:paraId="27EF0AE2">
            <w:pPr>
              <w:pStyle w:val="2"/>
              <w:widowControl/>
              <w:adjustRightInd w:val="0"/>
              <w:snapToGrid w:val="0"/>
              <w:spacing w:beforeAutospacing="0" w:afterAutospacing="0" w:line="360" w:lineRule="auto"/>
              <w:rPr>
                <w:rFonts w:hint="default"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  <w:t>病种、表单、质控规则、接口、报表可配置化，新增病种不需重构</w:t>
            </w:r>
          </w:p>
        </w:tc>
      </w:tr>
      <w:tr w14:paraId="2FE31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315F3286">
            <w:pPr>
              <w:pStyle w:val="2"/>
              <w:widowControl/>
              <w:adjustRightInd w:val="0"/>
              <w:snapToGrid w:val="0"/>
              <w:spacing w:beforeAutospacing="0" w:afterAutospacing="0" w:line="360" w:lineRule="auto"/>
              <w:rPr>
                <w:rFonts w:hint="default"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  <w:t>兼容性</w:t>
            </w:r>
          </w:p>
        </w:tc>
        <w:tc>
          <w:tcPr>
            <w:tcW w:w="7716" w:type="dxa"/>
          </w:tcPr>
          <w:p w14:paraId="2C22033E">
            <w:pPr>
              <w:pStyle w:val="2"/>
              <w:widowControl/>
              <w:adjustRightInd w:val="0"/>
              <w:snapToGrid w:val="0"/>
              <w:spacing w:beforeAutospacing="0" w:afterAutospacing="0" w:line="360" w:lineRule="auto"/>
              <w:rPr>
                <w:rFonts w:hint="default"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ascii="仿宋_GB2312" w:hAnsi="仿宋" w:eastAsia="仿宋_GB2312" w:cs="仿宋"/>
                <w:b w:val="0"/>
                <w:bCs w:val="0"/>
                <w:kern w:val="2"/>
                <w:sz w:val="21"/>
                <w:szCs w:val="21"/>
              </w:rPr>
              <w:t>支持主流浏览器、PC端，移动端可查看看板与待办</w:t>
            </w:r>
          </w:p>
        </w:tc>
      </w:tr>
    </w:tbl>
    <w:p w14:paraId="700A8685">
      <w:pPr>
        <w:pStyle w:val="2"/>
        <w:widowControl/>
        <w:adjustRightInd w:val="0"/>
        <w:snapToGrid w:val="0"/>
        <w:spacing w:beforeAutospacing="0" w:afterAutospacing="0" w:line="360" w:lineRule="auto"/>
        <w:rPr>
          <w:rFonts w:hint="default" w:ascii="仿宋_GB2312" w:hAnsi="仿宋" w:eastAsia="仿宋_GB2312" w:cs="仿宋"/>
          <w:kern w:val="2"/>
          <w:sz w:val="28"/>
          <w:szCs w:val="28"/>
        </w:rPr>
      </w:pPr>
    </w:p>
    <w:p w14:paraId="1AAD705C">
      <w:pPr>
        <w:pStyle w:val="2"/>
        <w:widowControl/>
        <w:adjustRightInd w:val="0"/>
        <w:snapToGrid w:val="0"/>
        <w:spacing w:beforeAutospacing="0" w:afterAutospacing="0" w:line="360" w:lineRule="auto"/>
        <w:rPr>
          <w:rFonts w:ascii="仿宋_GB2312" w:hAnsi="仿宋" w:eastAsia="仿宋_GB2312" w:cs="仿宋"/>
          <w:kern w:val="2"/>
          <w:sz w:val="28"/>
          <w:szCs w:val="28"/>
        </w:rPr>
      </w:pPr>
      <w:r>
        <w:rPr>
          <w:rFonts w:ascii="仿宋_GB2312" w:hAnsi="仿宋" w:eastAsia="仿宋_GB2312" w:cs="仿宋"/>
          <w:kern w:val="2"/>
          <w:sz w:val="28"/>
          <w:szCs w:val="28"/>
        </w:rPr>
        <w:t>五、系统接口集成要求</w:t>
      </w:r>
    </w:p>
    <w:p w14:paraId="0ABC464D">
      <w:pPr>
        <w:widowControl/>
        <w:numPr>
          <w:ilvl w:val="0"/>
          <w:numId w:val="11"/>
        </w:numPr>
        <w:adjustRightInd w:val="0"/>
        <w:snapToGrid w:val="0"/>
        <w:spacing w:line="360" w:lineRule="auto"/>
        <w:ind w:left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需要对接院内 HIS 系统、HRP系统、OA系统、院内不良事件平台；预留 EMR、LIS、PACS 扩展对接能力。</w:t>
      </w:r>
    </w:p>
    <w:p w14:paraId="73E1B962">
      <w:pPr>
        <w:widowControl/>
        <w:numPr>
          <w:ilvl w:val="0"/>
          <w:numId w:val="11"/>
        </w:numPr>
        <w:adjustRightInd w:val="0"/>
        <w:snapToGrid w:val="0"/>
        <w:spacing w:line="360" w:lineRule="auto"/>
        <w:ind w:left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接口支持 REST</w:t>
      </w:r>
      <w:r>
        <w:rPr>
          <w:rFonts w:hint="eastAsia" w:ascii="仿宋_GB2312" w:hAnsi="仿宋" w:eastAsia="仿宋_GB2312" w:cs="仿宋"/>
          <w:sz w:val="28"/>
          <w:szCs w:val="28"/>
        </w:rPr>
        <w:noBreakHyphen/>
      </w:r>
      <w:r>
        <w:rPr>
          <w:rFonts w:hint="eastAsia" w:ascii="仿宋_GB2312" w:hAnsi="仿宋" w:eastAsia="仿宋_GB2312" w:cs="仿宋"/>
          <w:sz w:val="28"/>
          <w:szCs w:val="28"/>
        </w:rPr>
        <w:t>API、WebService、HL7、DICOM 等常用标准协议；供应商需交付完整接口文档。</w:t>
      </w:r>
    </w:p>
    <w:p w14:paraId="3591D465">
      <w:pPr>
        <w:widowControl/>
        <w:numPr>
          <w:ilvl w:val="0"/>
          <w:numId w:val="11"/>
        </w:numPr>
        <w:adjustRightInd w:val="0"/>
        <w:snapToGrid w:val="0"/>
        <w:spacing w:line="360" w:lineRule="auto"/>
        <w:ind w:left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提供原有设备台账历史数据迁移方案，保障历史数据完整可用。</w:t>
      </w:r>
    </w:p>
    <w:p w14:paraId="368E00D5">
      <w:pPr>
        <w:pStyle w:val="2"/>
        <w:widowControl/>
        <w:adjustRightInd w:val="0"/>
        <w:snapToGrid w:val="0"/>
        <w:spacing w:beforeAutospacing="0" w:afterAutospacing="0" w:line="360" w:lineRule="auto"/>
        <w:rPr>
          <w:rFonts w:ascii="仿宋_GB2312" w:hAnsi="仿宋" w:eastAsia="仿宋_GB2312" w:cs="仿宋"/>
          <w:kern w:val="2"/>
          <w:sz w:val="28"/>
          <w:szCs w:val="28"/>
        </w:rPr>
      </w:pPr>
      <w:r>
        <w:rPr>
          <w:rFonts w:ascii="仿宋_GB2312" w:hAnsi="仿宋" w:eastAsia="仿宋_GB2312" w:cs="仿宋"/>
          <w:kern w:val="2"/>
          <w:sz w:val="28"/>
          <w:szCs w:val="28"/>
        </w:rPr>
        <w:t>六、实施、交付及售后服务要求</w:t>
      </w:r>
    </w:p>
    <w:p w14:paraId="00C2B291">
      <w:pPr>
        <w:widowControl/>
        <w:numPr>
          <w:ilvl w:val="0"/>
          <w:numId w:val="12"/>
        </w:numPr>
        <w:adjustRightInd w:val="0"/>
        <w:snapToGrid w:val="0"/>
        <w:spacing w:line="360" w:lineRule="auto"/>
        <w:ind w:left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部署环境：系统部署于医院内网服务器，供应商提供服务器、数据库、中间件软硬件配置建议。</w:t>
      </w:r>
    </w:p>
    <w:p w14:paraId="48490738">
      <w:pPr>
        <w:widowControl/>
        <w:numPr>
          <w:ilvl w:val="0"/>
          <w:numId w:val="12"/>
        </w:numPr>
        <w:adjustRightInd w:val="0"/>
        <w:snapToGrid w:val="0"/>
        <w:spacing w:line="360" w:lineRule="auto"/>
        <w:ind w:left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项目实施：提供完整实施计划，包含需求调研、开发、接口对接、物联网设备调试、系统测试、用户培训、试运行、项目验收全周期时间计划。</w:t>
      </w:r>
    </w:p>
    <w:p w14:paraId="34A6BF12">
      <w:pPr>
        <w:widowControl/>
        <w:numPr>
          <w:ilvl w:val="0"/>
          <w:numId w:val="12"/>
        </w:numPr>
        <w:adjustRightInd w:val="0"/>
        <w:snapToGrid w:val="0"/>
        <w:spacing w:line="360" w:lineRule="auto"/>
        <w:ind w:left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培训服务：针对系统管理员、设备科人员、临床使用人员分别开展操作培训，提供用户手册、运维手册。</w:t>
      </w:r>
    </w:p>
    <w:p w14:paraId="7BFCDEAA">
      <w:pPr>
        <w:widowControl/>
        <w:numPr>
          <w:ilvl w:val="0"/>
          <w:numId w:val="12"/>
        </w:numPr>
        <w:adjustRightInd w:val="0"/>
        <w:snapToGrid w:val="0"/>
        <w:spacing w:line="360" w:lineRule="auto"/>
        <w:ind w:left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质保服务：提供完整质保服务，明确质保期限、故障响应时效、技术支持模式。</w:t>
      </w:r>
    </w:p>
    <w:p w14:paraId="2EF72AC0">
      <w:pPr>
        <w:widowControl/>
        <w:numPr>
          <w:ilvl w:val="0"/>
          <w:numId w:val="12"/>
        </w:numPr>
        <w:adjustRightInd w:val="0"/>
        <w:snapToGrid w:val="0"/>
        <w:spacing w:line="360" w:lineRule="auto"/>
        <w:ind w:left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交付物：交付系统部署文档、接口文档、用户操作手册、运维手册、测试报告；系统使用权完整移交医院。</w:t>
      </w:r>
    </w:p>
    <w:p w14:paraId="5B2FDF7D">
      <w:pPr>
        <w:pStyle w:val="2"/>
        <w:widowControl/>
        <w:adjustRightInd w:val="0"/>
        <w:snapToGrid w:val="0"/>
        <w:spacing w:beforeAutospacing="0" w:afterAutospacing="0" w:line="360" w:lineRule="auto"/>
        <w:rPr>
          <w:rFonts w:ascii="仿宋_GB2312" w:hAnsi="仿宋" w:eastAsia="仿宋_GB2312" w:cs="仿宋"/>
          <w:kern w:val="2"/>
          <w:sz w:val="28"/>
          <w:szCs w:val="28"/>
        </w:rPr>
      </w:pPr>
      <w:r>
        <w:rPr>
          <w:rFonts w:ascii="仿宋_GB2312" w:hAnsi="仿宋" w:eastAsia="仿宋_GB2312" w:cs="仿宋"/>
          <w:kern w:val="2"/>
          <w:sz w:val="28"/>
          <w:szCs w:val="28"/>
        </w:rPr>
        <w:t>七、应答要求</w:t>
      </w:r>
    </w:p>
    <w:p w14:paraId="569DB326">
      <w:pPr>
        <w:widowControl/>
        <w:numPr>
          <w:ilvl w:val="0"/>
          <w:numId w:val="13"/>
        </w:numPr>
        <w:adjustRightInd w:val="0"/>
        <w:snapToGrid w:val="0"/>
        <w:spacing w:line="360" w:lineRule="auto"/>
        <w:ind w:left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供应商针对本技术参数逐条应答，应答结果分为：满足、部分满足、不满足；部分满足、不满足项，须详细说明原因、技术限制以及替代实现方案。</w:t>
      </w:r>
    </w:p>
    <w:p w14:paraId="7AEE927E">
      <w:pPr>
        <w:widowControl/>
        <w:numPr>
          <w:ilvl w:val="0"/>
          <w:numId w:val="13"/>
        </w:numPr>
        <w:adjustRightInd w:val="0"/>
        <w:snapToGrid w:val="0"/>
        <w:spacing w:line="360" w:lineRule="auto"/>
        <w:ind w:left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针对本次拟接入的物联网设备，明确项目实施风险点、对临床业务可能造成的影响以及风险规避措施。</w:t>
      </w:r>
    </w:p>
    <w:p w14:paraId="2D76D5E0">
      <w:pPr>
        <w:widowControl/>
        <w:numPr>
          <w:ilvl w:val="0"/>
          <w:numId w:val="13"/>
        </w:numPr>
        <w:adjustRightInd w:val="0"/>
        <w:snapToGrid w:val="0"/>
        <w:spacing w:line="360" w:lineRule="auto"/>
        <w:ind w:left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本参数仅为前期咨询调研附件，不作为正式招标依据，医院保留对本参数修改调整权利。</w:t>
      </w:r>
    </w:p>
    <w:p w14:paraId="42F7ADA5">
      <w:pPr>
        <w:widowControl/>
        <w:numPr>
          <w:ilvl w:val="0"/>
          <w:numId w:val="13"/>
        </w:numPr>
        <w:adjustRightInd w:val="0"/>
        <w:snapToGrid w:val="0"/>
        <w:spacing w:line="360" w:lineRule="auto"/>
        <w:ind w:left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展示真实业务操作，体现设备全流程管理，包括但不限于预算-采购-合同-验收-计量-巡检-质控-维修-报废。</w:t>
      </w:r>
    </w:p>
    <w:p w14:paraId="32CD606B">
      <w:pPr>
        <w:widowControl/>
        <w:numPr>
          <w:ilvl w:val="0"/>
          <w:numId w:val="13"/>
        </w:numPr>
        <w:adjustRightInd w:val="0"/>
        <w:snapToGrid w:val="0"/>
        <w:spacing w:line="360" w:lineRule="auto"/>
        <w:ind w:left="0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对整个项目做整体报价及详细的分项报价，软件报价、各类物联网设备报价，以及其他可能涉及的费用。</w:t>
      </w:r>
    </w:p>
    <w:p w14:paraId="0BF8BBAC">
      <w:pPr>
        <w:adjustRightInd w:val="0"/>
        <w:snapToGrid w:val="0"/>
        <w:spacing w:line="360" w:lineRule="auto"/>
        <w:jc w:val="center"/>
        <w:rPr>
          <w:rFonts w:hint="eastAsia" w:ascii="仿宋_GB2312" w:hAnsi="仿宋" w:eastAsia="仿宋_GB2312" w:cs="仿宋"/>
          <w:sz w:val="28"/>
          <w:szCs w:val="28"/>
        </w:rPr>
      </w:pP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FFA364"/>
    <w:multiLevelType w:val="multilevel"/>
    <w:tmpl w:val="9EFFA36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C2B6F3AB"/>
    <w:multiLevelType w:val="multilevel"/>
    <w:tmpl w:val="C2B6F3A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09257849"/>
    <w:multiLevelType w:val="multilevel"/>
    <w:tmpl w:val="0925784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1F4316FF"/>
    <w:multiLevelType w:val="multilevel"/>
    <w:tmpl w:val="1F4316FF"/>
    <w:lvl w:ilvl="0" w:tentative="0">
      <w:start w:val="1"/>
      <w:numFmt w:val="decimal"/>
      <w:lvlText w:val="%1)"/>
      <w:lvlJc w:val="left"/>
      <w:pPr>
        <w:ind w:left="1280" w:hanging="44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172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16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60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304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48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92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36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800" w:hanging="440"/>
      </w:pPr>
      <w:rPr>
        <w:rFonts w:hint="default" w:ascii="Wingdings" w:hAnsi="Wingdings"/>
      </w:rPr>
    </w:lvl>
  </w:abstractNum>
  <w:abstractNum w:abstractNumId="4">
    <w:nsid w:val="1FD20A53"/>
    <w:multiLevelType w:val="singleLevel"/>
    <w:tmpl w:val="1FD20A5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2EE309CF"/>
    <w:multiLevelType w:val="multilevel"/>
    <w:tmpl w:val="2EE309CF"/>
    <w:lvl w:ilvl="0" w:tentative="0">
      <w:start w:val="1"/>
      <w:numFmt w:val="decimal"/>
      <w:lvlText w:val="%1."/>
      <w:lvlJc w:val="left"/>
      <w:pPr>
        <w:ind w:left="855" w:hanging="440"/>
      </w:pPr>
    </w:lvl>
    <w:lvl w:ilvl="1" w:tentative="0">
      <w:start w:val="1"/>
      <w:numFmt w:val="lowerLetter"/>
      <w:lvlText w:val="%2)"/>
      <w:lvlJc w:val="left"/>
      <w:pPr>
        <w:ind w:left="1295" w:hanging="440"/>
      </w:pPr>
    </w:lvl>
    <w:lvl w:ilvl="2" w:tentative="0">
      <w:start w:val="1"/>
      <w:numFmt w:val="lowerRoman"/>
      <w:lvlText w:val="%3."/>
      <w:lvlJc w:val="right"/>
      <w:pPr>
        <w:ind w:left="1735" w:hanging="440"/>
      </w:pPr>
    </w:lvl>
    <w:lvl w:ilvl="3" w:tentative="0">
      <w:start w:val="1"/>
      <w:numFmt w:val="decimal"/>
      <w:lvlText w:val="%4."/>
      <w:lvlJc w:val="left"/>
      <w:pPr>
        <w:ind w:left="2175" w:hanging="440"/>
      </w:pPr>
    </w:lvl>
    <w:lvl w:ilvl="4" w:tentative="0">
      <w:start w:val="1"/>
      <w:numFmt w:val="lowerLetter"/>
      <w:lvlText w:val="%5)"/>
      <w:lvlJc w:val="left"/>
      <w:pPr>
        <w:ind w:left="2615" w:hanging="440"/>
      </w:pPr>
    </w:lvl>
    <w:lvl w:ilvl="5" w:tentative="0">
      <w:start w:val="1"/>
      <w:numFmt w:val="lowerRoman"/>
      <w:lvlText w:val="%6."/>
      <w:lvlJc w:val="right"/>
      <w:pPr>
        <w:ind w:left="3055" w:hanging="440"/>
      </w:pPr>
    </w:lvl>
    <w:lvl w:ilvl="6" w:tentative="0">
      <w:start w:val="1"/>
      <w:numFmt w:val="decimal"/>
      <w:lvlText w:val="%7."/>
      <w:lvlJc w:val="left"/>
      <w:pPr>
        <w:ind w:left="3495" w:hanging="440"/>
      </w:pPr>
    </w:lvl>
    <w:lvl w:ilvl="7" w:tentative="0">
      <w:start w:val="1"/>
      <w:numFmt w:val="lowerLetter"/>
      <w:lvlText w:val="%8)"/>
      <w:lvlJc w:val="left"/>
      <w:pPr>
        <w:ind w:left="3935" w:hanging="440"/>
      </w:pPr>
    </w:lvl>
    <w:lvl w:ilvl="8" w:tentative="0">
      <w:start w:val="1"/>
      <w:numFmt w:val="lowerRoman"/>
      <w:lvlText w:val="%9."/>
      <w:lvlJc w:val="right"/>
      <w:pPr>
        <w:ind w:left="4375" w:hanging="440"/>
      </w:pPr>
    </w:lvl>
  </w:abstractNum>
  <w:abstractNum w:abstractNumId="6">
    <w:nsid w:val="39C039A6"/>
    <w:multiLevelType w:val="multilevel"/>
    <w:tmpl w:val="39C039A6"/>
    <w:lvl w:ilvl="0" w:tentative="0">
      <w:start w:val="1"/>
      <w:numFmt w:val="decimal"/>
      <w:lvlText w:val="%1)"/>
      <w:lvlJc w:val="left"/>
      <w:pPr>
        <w:ind w:left="1280" w:hanging="440"/>
      </w:pPr>
    </w:lvl>
    <w:lvl w:ilvl="1" w:tentative="0">
      <w:start w:val="1"/>
      <w:numFmt w:val="lowerLetter"/>
      <w:lvlText w:val="%2)"/>
      <w:lvlJc w:val="left"/>
      <w:pPr>
        <w:ind w:left="1720" w:hanging="440"/>
      </w:pPr>
    </w:lvl>
    <w:lvl w:ilvl="2" w:tentative="0">
      <w:start w:val="1"/>
      <w:numFmt w:val="lowerRoman"/>
      <w:lvlText w:val="%3."/>
      <w:lvlJc w:val="right"/>
      <w:pPr>
        <w:ind w:left="2160" w:hanging="440"/>
      </w:pPr>
    </w:lvl>
    <w:lvl w:ilvl="3" w:tentative="0">
      <w:start w:val="1"/>
      <w:numFmt w:val="decimal"/>
      <w:lvlText w:val="%4."/>
      <w:lvlJc w:val="left"/>
      <w:pPr>
        <w:ind w:left="2600" w:hanging="440"/>
      </w:pPr>
    </w:lvl>
    <w:lvl w:ilvl="4" w:tentative="0">
      <w:start w:val="1"/>
      <w:numFmt w:val="lowerLetter"/>
      <w:lvlText w:val="%5)"/>
      <w:lvlJc w:val="left"/>
      <w:pPr>
        <w:ind w:left="3040" w:hanging="440"/>
      </w:pPr>
    </w:lvl>
    <w:lvl w:ilvl="5" w:tentative="0">
      <w:start w:val="1"/>
      <w:numFmt w:val="lowerRoman"/>
      <w:lvlText w:val="%6."/>
      <w:lvlJc w:val="right"/>
      <w:pPr>
        <w:ind w:left="3480" w:hanging="440"/>
      </w:pPr>
    </w:lvl>
    <w:lvl w:ilvl="6" w:tentative="0">
      <w:start w:val="1"/>
      <w:numFmt w:val="decimal"/>
      <w:lvlText w:val="%7."/>
      <w:lvlJc w:val="left"/>
      <w:pPr>
        <w:ind w:left="3920" w:hanging="440"/>
      </w:pPr>
    </w:lvl>
    <w:lvl w:ilvl="7" w:tentative="0">
      <w:start w:val="1"/>
      <w:numFmt w:val="lowerLetter"/>
      <w:lvlText w:val="%8)"/>
      <w:lvlJc w:val="left"/>
      <w:pPr>
        <w:ind w:left="4360" w:hanging="440"/>
      </w:pPr>
    </w:lvl>
    <w:lvl w:ilvl="8" w:tentative="0">
      <w:start w:val="1"/>
      <w:numFmt w:val="lowerRoman"/>
      <w:lvlText w:val="%9."/>
      <w:lvlJc w:val="right"/>
      <w:pPr>
        <w:ind w:left="4800" w:hanging="440"/>
      </w:pPr>
    </w:lvl>
  </w:abstractNum>
  <w:abstractNum w:abstractNumId="7">
    <w:nsid w:val="565ED4C6"/>
    <w:multiLevelType w:val="multilevel"/>
    <w:tmpl w:val="565ED4C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8">
    <w:nsid w:val="577F6359"/>
    <w:multiLevelType w:val="multilevel"/>
    <w:tmpl w:val="577F6359"/>
    <w:lvl w:ilvl="0" w:tentative="0">
      <w:start w:val="1"/>
      <w:numFmt w:val="decimal"/>
      <w:lvlText w:val="%1."/>
      <w:lvlJc w:val="left"/>
      <w:pPr>
        <w:ind w:left="855" w:hanging="440"/>
      </w:pPr>
    </w:lvl>
    <w:lvl w:ilvl="1" w:tentative="0">
      <w:start w:val="1"/>
      <w:numFmt w:val="lowerLetter"/>
      <w:lvlText w:val="%2)"/>
      <w:lvlJc w:val="left"/>
      <w:pPr>
        <w:ind w:left="1295" w:hanging="440"/>
      </w:pPr>
    </w:lvl>
    <w:lvl w:ilvl="2" w:tentative="0">
      <w:start w:val="1"/>
      <w:numFmt w:val="lowerRoman"/>
      <w:lvlText w:val="%3."/>
      <w:lvlJc w:val="right"/>
      <w:pPr>
        <w:ind w:left="1735" w:hanging="440"/>
      </w:pPr>
    </w:lvl>
    <w:lvl w:ilvl="3" w:tentative="0">
      <w:start w:val="1"/>
      <w:numFmt w:val="decimal"/>
      <w:lvlText w:val="%4."/>
      <w:lvlJc w:val="left"/>
      <w:pPr>
        <w:ind w:left="2175" w:hanging="440"/>
      </w:pPr>
    </w:lvl>
    <w:lvl w:ilvl="4" w:tentative="0">
      <w:start w:val="1"/>
      <w:numFmt w:val="lowerLetter"/>
      <w:lvlText w:val="%5)"/>
      <w:lvlJc w:val="left"/>
      <w:pPr>
        <w:ind w:left="2615" w:hanging="440"/>
      </w:pPr>
    </w:lvl>
    <w:lvl w:ilvl="5" w:tentative="0">
      <w:start w:val="1"/>
      <w:numFmt w:val="lowerRoman"/>
      <w:lvlText w:val="%6."/>
      <w:lvlJc w:val="right"/>
      <w:pPr>
        <w:ind w:left="3055" w:hanging="440"/>
      </w:pPr>
    </w:lvl>
    <w:lvl w:ilvl="6" w:tentative="0">
      <w:start w:val="1"/>
      <w:numFmt w:val="decimal"/>
      <w:lvlText w:val="%7."/>
      <w:lvlJc w:val="left"/>
      <w:pPr>
        <w:ind w:left="3495" w:hanging="440"/>
      </w:pPr>
    </w:lvl>
    <w:lvl w:ilvl="7" w:tentative="0">
      <w:start w:val="1"/>
      <w:numFmt w:val="lowerLetter"/>
      <w:lvlText w:val="%8)"/>
      <w:lvlJc w:val="left"/>
      <w:pPr>
        <w:ind w:left="3935" w:hanging="440"/>
      </w:pPr>
    </w:lvl>
    <w:lvl w:ilvl="8" w:tentative="0">
      <w:start w:val="1"/>
      <w:numFmt w:val="lowerRoman"/>
      <w:lvlText w:val="%9."/>
      <w:lvlJc w:val="right"/>
      <w:pPr>
        <w:ind w:left="4375" w:hanging="440"/>
      </w:pPr>
    </w:lvl>
  </w:abstractNum>
  <w:abstractNum w:abstractNumId="9">
    <w:nsid w:val="70070915"/>
    <w:multiLevelType w:val="multilevel"/>
    <w:tmpl w:val="70070915"/>
    <w:lvl w:ilvl="0" w:tentative="0">
      <w:start w:val="1"/>
      <w:numFmt w:val="decimal"/>
      <w:lvlText w:val="%1)"/>
      <w:lvlJc w:val="left"/>
      <w:pPr>
        <w:ind w:left="1280" w:hanging="440"/>
      </w:pPr>
    </w:lvl>
    <w:lvl w:ilvl="1" w:tentative="0">
      <w:start w:val="1"/>
      <w:numFmt w:val="lowerLetter"/>
      <w:lvlText w:val="%2)"/>
      <w:lvlJc w:val="left"/>
      <w:pPr>
        <w:ind w:left="1720" w:hanging="440"/>
      </w:pPr>
    </w:lvl>
    <w:lvl w:ilvl="2" w:tentative="0">
      <w:start w:val="1"/>
      <w:numFmt w:val="lowerRoman"/>
      <w:lvlText w:val="%3."/>
      <w:lvlJc w:val="right"/>
      <w:pPr>
        <w:ind w:left="2160" w:hanging="440"/>
      </w:pPr>
    </w:lvl>
    <w:lvl w:ilvl="3" w:tentative="0">
      <w:start w:val="1"/>
      <w:numFmt w:val="decimal"/>
      <w:lvlText w:val="%4."/>
      <w:lvlJc w:val="left"/>
      <w:pPr>
        <w:ind w:left="2600" w:hanging="440"/>
      </w:pPr>
    </w:lvl>
    <w:lvl w:ilvl="4" w:tentative="0">
      <w:start w:val="1"/>
      <w:numFmt w:val="lowerLetter"/>
      <w:lvlText w:val="%5)"/>
      <w:lvlJc w:val="left"/>
      <w:pPr>
        <w:ind w:left="3040" w:hanging="440"/>
      </w:pPr>
    </w:lvl>
    <w:lvl w:ilvl="5" w:tentative="0">
      <w:start w:val="1"/>
      <w:numFmt w:val="lowerRoman"/>
      <w:lvlText w:val="%6."/>
      <w:lvlJc w:val="right"/>
      <w:pPr>
        <w:ind w:left="3480" w:hanging="440"/>
      </w:pPr>
    </w:lvl>
    <w:lvl w:ilvl="6" w:tentative="0">
      <w:start w:val="1"/>
      <w:numFmt w:val="decimal"/>
      <w:lvlText w:val="%7."/>
      <w:lvlJc w:val="left"/>
      <w:pPr>
        <w:ind w:left="3920" w:hanging="440"/>
      </w:pPr>
    </w:lvl>
    <w:lvl w:ilvl="7" w:tentative="0">
      <w:start w:val="1"/>
      <w:numFmt w:val="lowerLetter"/>
      <w:lvlText w:val="%8)"/>
      <w:lvlJc w:val="left"/>
      <w:pPr>
        <w:ind w:left="4360" w:hanging="440"/>
      </w:pPr>
    </w:lvl>
    <w:lvl w:ilvl="8" w:tentative="0">
      <w:start w:val="1"/>
      <w:numFmt w:val="lowerRoman"/>
      <w:lvlText w:val="%9."/>
      <w:lvlJc w:val="right"/>
      <w:pPr>
        <w:ind w:left="4800" w:hanging="440"/>
      </w:pPr>
    </w:lvl>
  </w:abstractNum>
  <w:abstractNum w:abstractNumId="10">
    <w:nsid w:val="751C1241"/>
    <w:multiLevelType w:val="multilevel"/>
    <w:tmpl w:val="751C1241"/>
    <w:lvl w:ilvl="0" w:tentative="0">
      <w:start w:val="1"/>
      <w:numFmt w:val="decimal"/>
      <w:lvlText w:val="%1."/>
      <w:lvlJc w:val="left"/>
      <w:pPr>
        <w:ind w:left="855" w:hanging="440"/>
      </w:pPr>
    </w:lvl>
    <w:lvl w:ilvl="1" w:tentative="0">
      <w:start w:val="1"/>
      <w:numFmt w:val="lowerLetter"/>
      <w:lvlText w:val="%2)"/>
      <w:lvlJc w:val="left"/>
      <w:pPr>
        <w:ind w:left="1295" w:hanging="440"/>
      </w:pPr>
    </w:lvl>
    <w:lvl w:ilvl="2" w:tentative="0">
      <w:start w:val="1"/>
      <w:numFmt w:val="lowerRoman"/>
      <w:lvlText w:val="%3."/>
      <w:lvlJc w:val="right"/>
      <w:pPr>
        <w:ind w:left="1735" w:hanging="440"/>
      </w:pPr>
    </w:lvl>
    <w:lvl w:ilvl="3" w:tentative="0">
      <w:start w:val="1"/>
      <w:numFmt w:val="decimal"/>
      <w:lvlText w:val="%4."/>
      <w:lvlJc w:val="left"/>
      <w:pPr>
        <w:ind w:left="2175" w:hanging="440"/>
      </w:pPr>
    </w:lvl>
    <w:lvl w:ilvl="4" w:tentative="0">
      <w:start w:val="1"/>
      <w:numFmt w:val="lowerLetter"/>
      <w:lvlText w:val="%5)"/>
      <w:lvlJc w:val="left"/>
      <w:pPr>
        <w:ind w:left="2615" w:hanging="440"/>
      </w:pPr>
    </w:lvl>
    <w:lvl w:ilvl="5" w:tentative="0">
      <w:start w:val="1"/>
      <w:numFmt w:val="lowerRoman"/>
      <w:lvlText w:val="%6."/>
      <w:lvlJc w:val="right"/>
      <w:pPr>
        <w:ind w:left="3055" w:hanging="440"/>
      </w:pPr>
    </w:lvl>
    <w:lvl w:ilvl="6" w:tentative="0">
      <w:start w:val="1"/>
      <w:numFmt w:val="decimal"/>
      <w:lvlText w:val="%7."/>
      <w:lvlJc w:val="left"/>
      <w:pPr>
        <w:ind w:left="3495" w:hanging="440"/>
      </w:pPr>
    </w:lvl>
    <w:lvl w:ilvl="7" w:tentative="0">
      <w:start w:val="1"/>
      <w:numFmt w:val="lowerLetter"/>
      <w:lvlText w:val="%8)"/>
      <w:lvlJc w:val="left"/>
      <w:pPr>
        <w:ind w:left="3935" w:hanging="440"/>
      </w:pPr>
    </w:lvl>
    <w:lvl w:ilvl="8" w:tentative="0">
      <w:start w:val="1"/>
      <w:numFmt w:val="lowerRoman"/>
      <w:lvlText w:val="%9."/>
      <w:lvlJc w:val="right"/>
      <w:pPr>
        <w:ind w:left="4375" w:hanging="440"/>
      </w:pPr>
    </w:lvl>
  </w:abstractNum>
  <w:abstractNum w:abstractNumId="11">
    <w:nsid w:val="75CFDD95"/>
    <w:multiLevelType w:val="multilevel"/>
    <w:tmpl w:val="75CFDD9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2">
    <w:nsid w:val="7DA048D6"/>
    <w:multiLevelType w:val="multilevel"/>
    <w:tmpl w:val="7DA048D6"/>
    <w:lvl w:ilvl="0" w:tentative="0">
      <w:start w:val="1"/>
      <w:numFmt w:val="decimal"/>
      <w:lvlText w:val="%1)"/>
      <w:lvlJc w:val="left"/>
      <w:pPr>
        <w:ind w:left="1280" w:hanging="440"/>
      </w:pPr>
    </w:lvl>
    <w:lvl w:ilvl="1" w:tentative="0">
      <w:start w:val="1"/>
      <w:numFmt w:val="lowerLetter"/>
      <w:lvlText w:val="%2)"/>
      <w:lvlJc w:val="left"/>
      <w:pPr>
        <w:ind w:left="1720" w:hanging="440"/>
      </w:pPr>
    </w:lvl>
    <w:lvl w:ilvl="2" w:tentative="0">
      <w:start w:val="1"/>
      <w:numFmt w:val="lowerRoman"/>
      <w:lvlText w:val="%3."/>
      <w:lvlJc w:val="right"/>
      <w:pPr>
        <w:ind w:left="2160" w:hanging="440"/>
      </w:pPr>
    </w:lvl>
    <w:lvl w:ilvl="3" w:tentative="0">
      <w:start w:val="1"/>
      <w:numFmt w:val="decimal"/>
      <w:lvlText w:val="%4."/>
      <w:lvlJc w:val="left"/>
      <w:pPr>
        <w:ind w:left="2600" w:hanging="440"/>
      </w:pPr>
    </w:lvl>
    <w:lvl w:ilvl="4" w:tentative="0">
      <w:start w:val="1"/>
      <w:numFmt w:val="lowerLetter"/>
      <w:lvlText w:val="%5)"/>
      <w:lvlJc w:val="left"/>
      <w:pPr>
        <w:ind w:left="3040" w:hanging="440"/>
      </w:pPr>
    </w:lvl>
    <w:lvl w:ilvl="5" w:tentative="0">
      <w:start w:val="1"/>
      <w:numFmt w:val="lowerRoman"/>
      <w:lvlText w:val="%6."/>
      <w:lvlJc w:val="right"/>
      <w:pPr>
        <w:ind w:left="3480" w:hanging="440"/>
      </w:pPr>
    </w:lvl>
    <w:lvl w:ilvl="6" w:tentative="0">
      <w:start w:val="1"/>
      <w:numFmt w:val="decimal"/>
      <w:lvlText w:val="%7."/>
      <w:lvlJc w:val="left"/>
      <w:pPr>
        <w:ind w:left="3920" w:hanging="440"/>
      </w:pPr>
    </w:lvl>
    <w:lvl w:ilvl="7" w:tentative="0">
      <w:start w:val="1"/>
      <w:numFmt w:val="lowerLetter"/>
      <w:lvlText w:val="%8)"/>
      <w:lvlJc w:val="left"/>
      <w:pPr>
        <w:ind w:left="4360" w:hanging="440"/>
      </w:pPr>
    </w:lvl>
    <w:lvl w:ilvl="8" w:tentative="0">
      <w:start w:val="1"/>
      <w:numFmt w:val="lowerRoman"/>
      <w:lvlText w:val="%9."/>
      <w:lvlJc w:val="right"/>
      <w:pPr>
        <w:ind w:left="4800" w:hanging="44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9"/>
  </w:num>
  <w:num w:numId="7">
    <w:abstractNumId w:val="12"/>
  </w:num>
  <w:num w:numId="8">
    <w:abstractNumId w:val="8"/>
  </w:num>
  <w:num w:numId="9">
    <w:abstractNumId w:val="10"/>
  </w:num>
  <w:num w:numId="10">
    <w:abstractNumId w:val="5"/>
  </w:num>
  <w:num w:numId="11">
    <w:abstractNumId w:val="11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NhNGM0ZmRhODk0YWExODZmN2YyMDJkNGQxOWUxOTkifQ=="/>
  </w:docVars>
  <w:rsids>
    <w:rsidRoot w:val="003E6D3C"/>
    <w:rsid w:val="00027BE1"/>
    <w:rsid w:val="000F174D"/>
    <w:rsid w:val="00353908"/>
    <w:rsid w:val="003E6D3C"/>
    <w:rsid w:val="006A409C"/>
    <w:rsid w:val="00BD2B49"/>
    <w:rsid w:val="00CD6279"/>
    <w:rsid w:val="03710506"/>
    <w:rsid w:val="03B21F45"/>
    <w:rsid w:val="1D2A0E47"/>
    <w:rsid w:val="24191A0F"/>
    <w:rsid w:val="24CB5215"/>
    <w:rsid w:val="284C63CE"/>
    <w:rsid w:val="3D025DC7"/>
    <w:rsid w:val="40DC6D0D"/>
    <w:rsid w:val="47EA1CE9"/>
    <w:rsid w:val="4CD63661"/>
    <w:rsid w:val="4E440799"/>
    <w:rsid w:val="4FDF1F0B"/>
    <w:rsid w:val="52630BD1"/>
    <w:rsid w:val="56CD4A29"/>
    <w:rsid w:val="5C1A5157"/>
    <w:rsid w:val="5E9A70DA"/>
    <w:rsid w:val="6847175B"/>
    <w:rsid w:val="72121A02"/>
    <w:rsid w:val="795A247F"/>
    <w:rsid w:val="7E85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link w:val="16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</w:rPr>
  </w:style>
  <w:style w:type="character" w:default="1" w:styleId="10">
    <w:name w:val="Default Paragraph Font"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页眉 字符"/>
    <w:basedOn w:val="10"/>
    <w:link w:val="6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10"/>
    <w:link w:val="5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ds-markdown-paragraph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15">
    <w:name w:val="List Paragraph"/>
    <w:basedOn w:val="1"/>
    <w:unhideWhenUsed/>
    <w:uiPriority w:val="99"/>
    <w:pPr>
      <w:ind w:firstLine="420" w:firstLineChars="200"/>
    </w:pPr>
  </w:style>
  <w:style w:type="character" w:customStyle="1" w:styleId="16">
    <w:name w:val="标题 3 字符"/>
    <w:basedOn w:val="10"/>
    <w:link w:val="3"/>
    <w:uiPriority w:val="0"/>
    <w:rPr>
      <w:rFonts w:ascii="宋体" w:hAnsi="宋体"/>
      <w:b/>
      <w:bCs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5423</Words>
  <Characters>5664</Characters>
  <Lines>119</Lines>
  <Paragraphs>139</Paragraphs>
  <TotalTime>1</TotalTime>
  <ScaleCrop>false</ScaleCrop>
  <LinksUpToDate>false</LinksUpToDate>
  <CharactersWithSpaces>5701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2026-09-13T06:13:00Z</dcterms:created>
  <dc:creator>Administrator</dc:creator>
  <cp:lastModifiedBy>一骑绝尘</cp:lastModifiedBy>
  <dcterms:modified xsi:type="dcterms:W3CDTF">2026-09-14T05:57:20Z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eyJoZGlkIjoiNTlmODdjY2YwZWM2NDBjZmE5NDBmMjRlM2U0YTQ1OWQiLCJ1c2VySWQiOiIxNjgwOTY1MzQ3In0=</vt:lpwstr>
  </property>
  <property fmtid="{D5CDD505-2E9C-101B-9397-08002B2CF9AE}" pid="4" name="ICV">
    <vt:lpwstr>D8A67D7FC6C743B995BE40D7CBD454FD_13</vt:lpwstr>
  </property>
</Properties>
</file>