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D5D73">
      <w:pPr>
        <w:widowControl/>
        <w:spacing w:line="360" w:lineRule="auto"/>
        <w:jc w:val="center"/>
        <w:rPr>
          <w:rFonts w:hint="eastAsia"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云南省第一人民医院血液净化管理系统运维服务项目</w:t>
      </w:r>
    </w:p>
    <w:p w14:paraId="73C0F2C1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/>
          <w:color w:val="000000"/>
          <w:kern w:val="0"/>
          <w:sz w:val="24"/>
          <w:szCs w:val="24"/>
        </w:rPr>
        <w:t>平台</w:t>
      </w:r>
      <w:r>
        <w:rPr>
          <w:rFonts w:hint="eastAsia" w:ascii="宋体" w:hAnsi="宋体" w:eastAsia="宋体" w:cs="宋体"/>
          <w:kern w:val="0"/>
          <w:sz w:val="24"/>
          <w:szCs w:val="24"/>
        </w:rPr>
        <w:t>采购需求</w:t>
      </w:r>
    </w:p>
    <w:p w14:paraId="778CE4D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采购需求应当完整、明确，包括以下内容： （一）采购标的需实现的功能或者目标，以及为落实政府采购政策需满足的要求； （二）采购标的需执行的国家相关标准、行业标准、地方标准或者其他标准、规范； （三）采购标的需满足的质量、安全、技术规格、物理特性等要求； （四）采购标的的数量、采购项目交付或者实施的时间和地点； （五）采购标的需满足的服务标准、期限、效率等要求； （六）采购标的的验收标准； （七）采购标的的其他技术、服务等要求。</w:t>
      </w:r>
    </w:p>
    <w:p w14:paraId="6DE10C8F"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（一) 采购标的需实现的功能或者目标，以及为落实政府采购政策需满足的要求；</w:t>
      </w:r>
    </w:p>
    <w:p w14:paraId="25750A22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2027-2028年两年维保服务，本项目维保服务围绕基础设施、软件功能、运行运维、专项增值服务四大维度开展，贴合系统运行需求、政务信息化规范及预算标准，服务内容全面、精准、无冗余，全面保障系统稳定、合规、高效运行。</w:t>
      </w:r>
    </w:p>
    <w:p w14:paraId="6FAB3DFD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（一）基础设施服务</w:t>
      </w:r>
    </w:p>
    <w:p w14:paraId="3D1C14A6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本项目所有基础设施均复用政务云、政务网公共资源，不新增硬件设备、不自行采购基础设施，严格遵循政务公共资源使用规范，具体资源明细及服务内容如下：</w:t>
      </w:r>
    </w:p>
    <w:p w14:paraId="5E635B3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1. 政务云资源明细及部署方式</w:t>
      </w:r>
    </w:p>
    <w:p w14:paraId="46B74766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资源类型规格参数数量部署方式服务内容</w:t>
      </w:r>
    </w:p>
    <w:p w14:paraId="71B1BF00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云服务器4核8G，主频2.5GHz，内存8GB2台（主备）政务云云端部署，双机热备服务器日常监控、性能优化、故障排查、补丁更新、冗余切换测试</w:t>
      </w:r>
    </w:p>
    <w:p w14:paraId="1B67CBB2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云数据库MySQL 8.0，4核8G，最大连接5001套云端集群部署数据库运维、数据备份、性能优化、语句优化、异常修复</w:t>
      </w:r>
    </w:p>
    <w:p w14:paraId="76718B40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云存储高速云硬盘，500GB1块云端挂载存储存储容量监控、数据归档整理、存储性能优化、冗余清理</w:t>
      </w:r>
    </w:p>
    <w:p w14:paraId="74E6345D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政务网带宽独享100M专线1条院内专线接入政务外网网络稳定性监控、传输优化、故障排查、带宽负载调度</w:t>
      </w:r>
    </w:p>
    <w:p w14:paraId="349518FD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2. 基础设施维保服务目标</w:t>
      </w:r>
    </w:p>
    <w:p w14:paraId="4CC85D34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480" w:firstLineChars="200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保障所有政务公共资源稳定运行，服务器算力、存储、网络资源负载均衡，无资源过载、卡顿、断连问题，资源利用率维持在合理区间，满足系统全业务场景运行需求，完全符合政务公共资源使用考核标准。</w:t>
      </w:r>
    </w:p>
    <w:p w14:paraId="145D812D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（二）软件服务</w:t>
      </w:r>
    </w:p>
    <w:p w14:paraId="0EE7A5E6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480" w:firstLineChars="200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本项目软件服务采用购买专业化维保服务模式，无成品租赁需求，基于现有血透信息管理系统正版软件开展运维、优化、适配服务，贴合系统现状、业务需求及预算标准，具体服务内容、目标及成效如下：</w:t>
      </w:r>
    </w:p>
    <w:p w14:paraId="2B141D66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1. 基础软件运维服务</w:t>
      </w:r>
    </w:p>
    <w:p w14:paraId="06753E1A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•系统基础功能运维：全覆盖八大核心功能模块，修复功能卡顿、报错、失效、数据异常等问题，保障所有业务功能正常使用；</w:t>
      </w:r>
    </w:p>
    <w:p w14:paraId="6AC747E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•系统参数配置优化：根据科室业务调整、政策更新，实时优化系统排班规则、上报字段、权限参数、结算参数等配置；</w:t>
      </w:r>
    </w:p>
    <w:p w14:paraId="031507D2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•软件环境运维：负责系统运行依赖的运行环境、插件、组件维护，修复环境兼容异常、程序启动异常等问题。</w:t>
      </w:r>
    </w:p>
    <w:p w14:paraId="69BDC5BA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2. 功能迭代适配服务</w:t>
      </w:r>
    </w:p>
    <w:p w14:paraId="62990F7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•政策适配迭代：根据卫健、医保、院感最新政策要求，调整系统数据上报格式、诊疗规范、结算规则，保障业务合规；</w:t>
      </w:r>
    </w:p>
    <w:p w14:paraId="2B90A272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•业务适配优化：针对科室新增业务流程、使用痛点，优化操作界面、流程逻辑、报表功能，提升使用便捷性；</w:t>
      </w:r>
    </w:p>
    <w:p w14:paraId="003C3137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•接口迭代适配：跟进外部对接系统接口更新，及时调整对接逻辑，保障跨系统数据互通不中断。</w:t>
      </w:r>
    </w:p>
    <w:p w14:paraId="5F59DB5B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3. 软件服务目标与成效</w:t>
      </w:r>
    </w:p>
    <w:p w14:paraId="19863F4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•目标：系统软件功能零重大故障，常规问题快速修复，持续适配政策与业务迭代需求，软件运行合规、高效、稳定；</w:t>
      </w:r>
    </w:p>
    <w:p w14:paraId="5F36EAC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•成效：彻底解决系统长期存在的功能漏洞、适配滞后、数据异常问题，提升系统业务承载能力，满足科室精细化管理、上级合规监管需求。</w:t>
      </w:r>
    </w:p>
    <w:p w14:paraId="57D468B8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（三）运行维护服务</w:t>
      </w:r>
    </w:p>
    <w:p w14:paraId="365BDE2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1. 运维人员配置及专业等级</w:t>
      </w:r>
    </w:p>
    <w:p w14:paraId="6D6DC9C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组建专业化驻场+远程运维团队，配置专职运维人员3名，均具备医疗信息化运维3年以上经验，人员配置如下：</w:t>
      </w:r>
    </w:p>
    <w:p w14:paraId="7562A3D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•项目负责人1名：负责项目整体统筹、方案落地、对接考核、问题复盘；</w:t>
      </w:r>
    </w:p>
    <w:p w14:paraId="03EBA5F8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•技术运维工程师1名：负责系统功能运维、故障修复、参数优化、接口调试；</w:t>
      </w:r>
    </w:p>
    <w:p w14:paraId="6C1BF5B9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•安全运维工程师1名：负责安全防护、漏洞整改、数据安全、合规测评对接。</w:t>
      </w:r>
    </w:p>
    <w:p w14:paraId="1C42FB2B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2. 运维设备/系统清单</w:t>
      </w:r>
    </w:p>
    <w:p w14:paraId="62C0096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本次维保服务覆盖设备及系统清单：血透信息管理系统全套功能模块、政务云主备服务器、云端数据库、云存储、政务外网专线、系统对接的外部接口、院内终端运行环境、物联网设备对接终端。</w:t>
      </w:r>
    </w:p>
    <w:p w14:paraId="2A8A8DBD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3. 量化服务指标与故障响应时限</w:t>
      </w:r>
    </w:p>
    <w:p w14:paraId="6AF468C4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（1）故障响应与处置时限</w:t>
      </w:r>
    </w:p>
    <w:p w14:paraId="47FD19BF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•重大故障（系统瘫痪、全部业务中断）：7×24小时响应，10分钟内接单，30分钟内到场处置，2小时内完成故障修复；</w:t>
      </w:r>
    </w:p>
    <w:p w14:paraId="0ACCD5E7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•一般故障（部分功能异常、数据延迟、局部卡顿）：7×24小时响应，20分钟内接单，4小时内完成修复；</w:t>
      </w:r>
    </w:p>
    <w:p w14:paraId="6E049C9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•轻微问题（操作咨询、参数微调、报表优化）：工作时间10分钟内响应，当日完成处置。</w:t>
      </w:r>
    </w:p>
    <w:p w14:paraId="77DA42A0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（2）量化运维考核指标</w:t>
      </w:r>
    </w:p>
    <w:p w14:paraId="22F5E38B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•系统全年可用率≥99.9%，故障处置办结率100%；</w:t>
      </w:r>
    </w:p>
    <w:p w14:paraId="7433CDC1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•用户投诉率=0，问题复盘整改率100%；</w:t>
      </w:r>
    </w:p>
    <w:p w14:paraId="1831FD78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•数据准确率、上报成功率100%；</w:t>
      </w:r>
    </w:p>
    <w:p w14:paraId="705F6008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•月度运维巡检全覆盖，隐患整改率100%；</w:t>
      </w:r>
    </w:p>
    <w:p w14:paraId="1B28EAAB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•年度安全漏洞整改率100%，无安全事故、数据泄露事故。</w:t>
      </w:r>
    </w:p>
    <w:p w14:paraId="2E20244B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</w:p>
    <w:p w14:paraId="4C6F77A6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>（二）采购标的需执行的国家相关标准、行业标准、地方标准或者其他标准、规范；</w:t>
      </w:r>
      <w:r>
        <w:rPr>
          <w:rFonts w:hint="eastAsia" w:ascii="宋体" w:hAnsi="宋体" w:eastAsia="宋体" w:cs="宋体"/>
          <w:szCs w:val="24"/>
        </w:rPr>
        <w:t xml:space="preserve"> </w:t>
      </w:r>
    </w:p>
    <w:p w14:paraId="53933E37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按照《中华人民共和国政府采购法》《中华人民共和国政府采购法实施条例》、《政府采购货物和服务招投标管理办法（财政部令第87号）》等有关规定及相关行业、地方或其他现行标准、规范执行。系统建设达到《网络安全等级保护基本要求（GB/T 22239-2019）》标准。</w:t>
      </w:r>
    </w:p>
    <w:p w14:paraId="1306A259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</w:p>
    <w:p w14:paraId="099BC4B5">
      <w:pPr>
        <w:pStyle w:val="8"/>
        <w:widowControl/>
        <w:numPr>
          <w:ilvl w:val="0"/>
          <w:numId w:val="1"/>
        </w:numPr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b/>
          <w:bCs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>采购标的需满足的质量、安全、技术规格、物理特性等要求；</w:t>
      </w:r>
    </w:p>
    <w:p w14:paraId="0A697484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 xml:space="preserve">   系统建设过程中，应注重各类数据的标准化、规范化，技术服务实现的功能必须满足用户的需求，质量达到现行合格标准，符合国家、行业、地方规定的质量和安全标准要求，满足国家对计算机信息化系统的规定和国家标准， 在质保期内，因国家政策的变动，应满足医院需求功能。</w:t>
      </w:r>
    </w:p>
    <w:p w14:paraId="721FB08E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480" w:firstLineChars="200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 xml:space="preserve"> </w:t>
      </w:r>
    </w:p>
    <w:p w14:paraId="682AA01E">
      <w:pPr>
        <w:pStyle w:val="8"/>
        <w:widowControl/>
        <w:numPr>
          <w:ilvl w:val="0"/>
          <w:numId w:val="2"/>
        </w:numPr>
        <w:shd w:val="clear" w:color="auto" w:fill="FFFFFF"/>
        <w:wordWrap w:val="0"/>
        <w:spacing w:beforeAutospacing="0" w:afterAutospacing="0" w:line="525" w:lineRule="atLeast"/>
        <w:ind w:firstLine="482" w:firstLineChars="200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>采购标的的数量、采购项目交付或者实施的时间和地点；</w:t>
      </w:r>
      <w:r>
        <w:rPr>
          <w:rFonts w:hint="eastAsia" w:ascii="宋体" w:hAnsi="宋体" w:eastAsia="宋体" w:cs="宋体"/>
          <w:szCs w:val="24"/>
        </w:rPr>
        <w:t xml:space="preserve"> </w:t>
      </w:r>
    </w:p>
    <w:p w14:paraId="15285CA7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运维服务；交货地点：云南省第一人民医院用户指定地点。</w:t>
      </w:r>
    </w:p>
    <w:p w14:paraId="6F563064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1200" w:firstLineChars="500"/>
        <w:rPr>
          <w:rFonts w:hint="eastAsia" w:ascii="宋体" w:hAnsi="宋体" w:eastAsia="宋体" w:cs="宋体"/>
          <w:szCs w:val="24"/>
        </w:rPr>
      </w:pPr>
    </w:p>
    <w:p w14:paraId="38D724BE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1200" w:firstLineChars="500"/>
        <w:rPr>
          <w:rFonts w:hint="eastAsia" w:ascii="宋体" w:hAnsi="宋体" w:eastAsia="宋体" w:cs="宋体"/>
          <w:szCs w:val="24"/>
        </w:rPr>
      </w:pPr>
    </w:p>
    <w:p w14:paraId="30B2FF85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482" w:firstLineChars="200"/>
        <w:rPr>
          <w:rFonts w:hint="eastAsia" w:ascii="宋体" w:hAnsi="宋体" w:eastAsia="宋体" w:cs="宋体"/>
          <w:b/>
          <w:bCs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 xml:space="preserve">（五）采购标的需满足的服务标准、期限、效率等要求； </w:t>
      </w:r>
    </w:p>
    <w:p w14:paraId="6119FB9C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中标人须提供  2  年的运维服务期限，自合同签订之日起，完成本项目相关的调研、运维服务。免费提供操作及维护培训（需提供具体培训内容），按医院要求完成服务。</w:t>
      </w:r>
    </w:p>
    <w:p w14:paraId="0BC96FDE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</w:p>
    <w:p w14:paraId="6A0F1971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b/>
          <w:bCs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 xml:space="preserve">（六）采购标的的验收标准： </w:t>
      </w:r>
    </w:p>
    <w:p w14:paraId="70B716FB">
      <w:pPr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甲方将对乙方提供的维护服务一年一考核，根据考核结果支付服务费用。</w:t>
      </w:r>
    </w:p>
    <w:tbl>
      <w:tblPr>
        <w:tblStyle w:val="9"/>
        <w:tblW w:w="9129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2"/>
        <w:gridCol w:w="5690"/>
        <w:gridCol w:w="1078"/>
        <w:gridCol w:w="869"/>
      </w:tblGrid>
      <w:tr w14:paraId="56F7BC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602B0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考评人:</w:t>
            </w:r>
          </w:p>
        </w:tc>
        <w:tc>
          <w:tcPr>
            <w:tcW w:w="569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2E7E5EA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 w:val="36"/>
                <w:szCs w:val="36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E5BD5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考评得分:</w:t>
            </w:r>
          </w:p>
        </w:tc>
        <w:tc>
          <w:tcPr>
            <w:tcW w:w="86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E4ADA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 w:val="36"/>
                <w:szCs w:val="36"/>
              </w:rPr>
            </w:pPr>
          </w:p>
        </w:tc>
      </w:tr>
      <w:tr w14:paraId="4805C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E0BC3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考核内容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324B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考核标准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DEB03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分值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FFC63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备注</w:t>
            </w:r>
          </w:p>
        </w:tc>
      </w:tr>
      <w:tr w14:paraId="6C3EB7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89979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微软雅黑"/>
                <w:b/>
                <w:sz w:val="36"/>
                <w:szCs w:val="36"/>
              </w:rPr>
              <w:t>系统维护服务质量考评表（每年）</w:t>
            </w:r>
          </w:p>
        </w:tc>
      </w:tr>
      <w:tr w14:paraId="209069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BDE1F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服务态度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D278">
            <w:pPr>
              <w:widowControl/>
              <w:spacing w:line="360" w:lineRule="auto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乙方指定工作联络专员，与科室联络及时有效，态度良好，不推诿。未指定联络员扣20分，工作日8:00-18:00未接听电话且未回复电话每次扣2分。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C152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44FB5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  <w:tr w14:paraId="1BE36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1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18871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服务响应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A30C4">
            <w:pPr>
              <w:widowControl/>
              <w:spacing w:line="360" w:lineRule="auto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工作日8:00-18:00内乙方在接到甲方提出需求（电话或工作微信群）后，需4小时内回复，未回复或超时回复每次扣2分。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5678E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B2284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  <w:tr w14:paraId="33BB05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F791F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服务内容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3B00E">
            <w:pPr>
              <w:widowControl/>
              <w:spacing w:line="360" w:lineRule="auto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修改数据要求，24小时回复处理，超时完成扣2分，三个工作日内未完成扣5分；功能更改要求，</w:t>
            </w:r>
            <w:r>
              <w:rPr>
                <w:rFonts w:hint="eastAsia" w:ascii="仿宋" w:hAnsi="仿宋" w:eastAsia="仿宋" w:cs="微软雅黑"/>
                <w:szCs w:val="21"/>
              </w:rPr>
              <w:t>72小时内回复解决方案及处理时间（如无法完成提前沟通确认），</w:t>
            </w:r>
            <w:r>
              <w:rPr>
                <w:rFonts w:hint="eastAsia" w:ascii="仿宋" w:hAnsi="仿宋" w:eastAsia="仿宋" w:cs="微软雅黑"/>
                <w:szCs w:val="24"/>
              </w:rPr>
              <w:t>超时完成扣2分，三个工作日内未完成扣5分；功能新增要求，</w:t>
            </w:r>
            <w:r>
              <w:rPr>
                <w:rFonts w:hint="eastAsia" w:ascii="仿宋" w:hAnsi="仿宋" w:eastAsia="仿宋" w:cs="微软雅黑"/>
                <w:szCs w:val="21"/>
              </w:rPr>
              <w:t>72小时内回复解决方案及处理时间（如无法完成提前沟通确认）</w:t>
            </w:r>
            <w:r>
              <w:rPr>
                <w:rFonts w:hint="eastAsia" w:ascii="仿宋" w:hAnsi="仿宋" w:eastAsia="仿宋" w:cs="微软雅黑"/>
                <w:szCs w:val="24"/>
              </w:rPr>
              <w:t>，超时完成扣2分，五个工作日内未完成扣5分。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07B90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F3823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  <w:tr w14:paraId="544C2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1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02860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现场沟通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64631">
            <w:pPr>
              <w:widowControl/>
              <w:spacing w:line="360" w:lineRule="auto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乙方每半年指派一名工作人员到科室维护系统，未指派一次扣10分。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0AA59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50256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  <w:tr w14:paraId="05AAF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88AD6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突发情况处理</w:t>
            </w:r>
          </w:p>
        </w:tc>
        <w:tc>
          <w:tcPr>
            <w:tcW w:w="5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F8353">
            <w:pPr>
              <w:widowControl/>
              <w:spacing w:line="360" w:lineRule="auto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乙方除提供了常规电话、远程等维护服务外，在系统出现突发情况不能使用时，联系预留电话紧急处理使系统恢复稳定，若未及时处理造成损失的，酌情扣分。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3E708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微软雅黑"/>
                <w:szCs w:val="24"/>
              </w:rPr>
            </w:pPr>
            <w:r>
              <w:rPr>
                <w:rFonts w:hint="eastAsia" w:ascii="仿宋" w:hAnsi="仿宋" w:eastAsia="仿宋" w:cs="微软雅黑"/>
                <w:szCs w:val="24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BE683">
            <w:pPr>
              <w:spacing w:line="360" w:lineRule="auto"/>
              <w:jc w:val="center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  <w:tr w14:paraId="0FAC86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4" w:hRule="atLeast"/>
        </w:trPr>
        <w:tc>
          <w:tcPr>
            <w:tcW w:w="91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6061A">
            <w:pPr>
              <w:spacing w:line="360" w:lineRule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szCs w:val="24"/>
              </w:rPr>
              <w:t>注：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1.考核分数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大于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90分，支付维护费用100%</w:t>
            </w:r>
          </w:p>
          <w:p w14:paraId="70DBB7A4">
            <w:pPr>
              <w:spacing w:line="360" w:lineRule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2.考核分数为80分至89分，支付维护费用90%</w:t>
            </w:r>
          </w:p>
          <w:p w14:paraId="6B3D5574">
            <w:pPr>
              <w:spacing w:line="360" w:lineRule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3.考核分数为70分至79分，支付维护费用80%</w:t>
            </w:r>
          </w:p>
          <w:p w14:paraId="69E71F02">
            <w:pPr>
              <w:spacing w:line="360" w:lineRule="auto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4.考核分数低于70分，支付维护费用70%</w:t>
            </w:r>
          </w:p>
          <w:p w14:paraId="33F781AA">
            <w:pPr>
              <w:spacing w:line="360" w:lineRule="auto"/>
              <w:jc w:val="left"/>
              <w:rPr>
                <w:rFonts w:hint="eastAsia" w:ascii="仿宋" w:hAnsi="仿宋" w:eastAsia="仿宋" w:cs="微软雅黑"/>
                <w:b/>
                <w:szCs w:val="24"/>
              </w:rPr>
            </w:pPr>
          </w:p>
        </w:tc>
      </w:tr>
    </w:tbl>
    <w:p w14:paraId="48DAB9CE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rPr>
          <w:rFonts w:hint="eastAsia" w:ascii="宋体" w:hAnsi="宋体" w:eastAsia="宋体" w:cs="宋体"/>
          <w:szCs w:val="24"/>
        </w:rPr>
      </w:pPr>
    </w:p>
    <w:p w14:paraId="131B7783">
      <w:pPr>
        <w:pStyle w:val="8"/>
        <w:widowControl/>
        <w:shd w:val="clear" w:color="auto" w:fill="FFFFFF"/>
        <w:wordWrap w:val="0"/>
        <w:spacing w:beforeAutospacing="0" w:afterAutospacing="0" w:line="525" w:lineRule="atLeast"/>
        <w:ind w:firstLine="555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b/>
          <w:bCs/>
          <w:szCs w:val="24"/>
        </w:rPr>
        <w:t>（七）采购标的的其他技术、服务等要求</w:t>
      </w:r>
      <w:r>
        <w:rPr>
          <w:rFonts w:hint="eastAsia" w:ascii="宋体" w:hAnsi="宋体" w:eastAsia="宋体" w:cs="宋体"/>
          <w:szCs w:val="24"/>
        </w:rPr>
        <w:t>：</w:t>
      </w:r>
    </w:p>
    <w:p w14:paraId="3D24813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结合项目实际合规需求，配套开展贴合业务、无冗余的专项服务，保障系统全维度合规运行，具体服务内容、目标及要求如下：</w:t>
      </w:r>
    </w:p>
    <w:p w14:paraId="69043727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 业务管理服务</w:t>
      </w:r>
    </w:p>
    <w:p w14:paraId="0B6E22A2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核心内容：定期梳理血透业务流程，优化系统与业务适配性，开展医护人员操作培训、业务答疑，整理运维台账、业务运行报表；目标：规范科室数字化业务操作，提升人员操作熟练度，保障业务流程标准化、规范化运行；要求：每月开展1次业务巡检、每季度开展1次操作培训，全程留存台账记录。</w:t>
      </w:r>
    </w:p>
    <w:p w14:paraId="5E2B7D8C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 数据处理服务</w:t>
      </w:r>
    </w:p>
    <w:p w14:paraId="303BA1C3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核心内容：开展系统数据清洗、去重、纠错、脱敏、备份归档，修复异常数据、缺失数据，保障数据完整精准；目标：构建高质量医疗数据资源，满足诊疗、统计、上报、溯源需求；要求：每日自动备份、每周人工核查、每月数据专项治理，杜绝数据错乱、缺失、泄露问题。</w:t>
      </w:r>
    </w:p>
    <w:p w14:paraId="64ADF8E6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3. 网络安全运营服务</w:t>
      </w:r>
    </w:p>
    <w:p w14:paraId="7B5658D8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核心内容：常态化开展网络流量监控、端口管控、漏洞扫描、病毒防护、日志审计，优化安全策略，处置安全隐患；目标：构建全方位安全防护体系，杜绝网络攻击、非法访问、数据泄露风险；要求：每日安全巡检、每月漏洞扫描、每季度安全复盘，隐患即时整改。</w:t>
      </w:r>
    </w:p>
    <w:p w14:paraId="1E2782D3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4. 等保测评与商密评估服务</w:t>
      </w:r>
    </w:p>
    <w:p w14:paraId="6EDDB5AF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核心内容：配合开展网络安全等级保护2.0三级测评、商用密码应用安全性评估，梳理测评资料，整改测评漏洞，完善合规材料；目标：保障系统完全符合等保、商密合规要求，顺利通过年度测评；要求：全程对接测评机构，及时完成问题整改，出具完整合规测评报告。</w:t>
      </w:r>
    </w:p>
    <w:p w14:paraId="43402A2A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5. 验收测评与咨询监理服务</w:t>
      </w:r>
    </w:p>
    <w:p w14:paraId="42FBBF2B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核心内容：提供项目运维全过程设计咨询、技术咨询、合规咨询，配合开展项目监理、阶段性验收、终验测评工作，整理全套运维归档资料；目标：保障项目运维流程规范、资料齐全、验收合格；要求：全程配合监理及验收工作，及时整改验收问题，归档资料完整合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36E949"/>
    <w:multiLevelType w:val="singleLevel"/>
    <w:tmpl w:val="9736E94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16EAC51"/>
    <w:multiLevelType w:val="singleLevel"/>
    <w:tmpl w:val="316EAC51"/>
    <w:lvl w:ilvl="0" w:tentative="0">
      <w:start w:val="4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MGYwM2QzZjc1MDNkYTYyYjY4NjQwMTJlNzUzMzgifQ=="/>
  </w:docVars>
  <w:rsids>
    <w:rsidRoot w:val="00383267"/>
    <w:rsid w:val="000211F9"/>
    <w:rsid w:val="000918BF"/>
    <w:rsid w:val="00220FDB"/>
    <w:rsid w:val="00361F10"/>
    <w:rsid w:val="00383267"/>
    <w:rsid w:val="003E2F65"/>
    <w:rsid w:val="004C3ADA"/>
    <w:rsid w:val="006A3964"/>
    <w:rsid w:val="007046FE"/>
    <w:rsid w:val="007431C6"/>
    <w:rsid w:val="007E4CA5"/>
    <w:rsid w:val="008B07A0"/>
    <w:rsid w:val="00A16B85"/>
    <w:rsid w:val="00A523B9"/>
    <w:rsid w:val="00B31207"/>
    <w:rsid w:val="00B83C71"/>
    <w:rsid w:val="00C81AB7"/>
    <w:rsid w:val="00EE5246"/>
    <w:rsid w:val="00FD71AB"/>
    <w:rsid w:val="025B14EB"/>
    <w:rsid w:val="08362309"/>
    <w:rsid w:val="0B5C5AE1"/>
    <w:rsid w:val="0D0A17F5"/>
    <w:rsid w:val="0FC9147F"/>
    <w:rsid w:val="12261224"/>
    <w:rsid w:val="139D423C"/>
    <w:rsid w:val="14E34515"/>
    <w:rsid w:val="15607770"/>
    <w:rsid w:val="16CC4C31"/>
    <w:rsid w:val="17A634EE"/>
    <w:rsid w:val="238329D1"/>
    <w:rsid w:val="24FD5DE6"/>
    <w:rsid w:val="26C568DA"/>
    <w:rsid w:val="27764078"/>
    <w:rsid w:val="2B1C6CE5"/>
    <w:rsid w:val="2ED846DA"/>
    <w:rsid w:val="354518AD"/>
    <w:rsid w:val="3B7D557D"/>
    <w:rsid w:val="3BD445EE"/>
    <w:rsid w:val="3BE37722"/>
    <w:rsid w:val="44963B40"/>
    <w:rsid w:val="44F70F80"/>
    <w:rsid w:val="48B56CDA"/>
    <w:rsid w:val="4CD45EDE"/>
    <w:rsid w:val="4D5645D0"/>
    <w:rsid w:val="4D8C004F"/>
    <w:rsid w:val="54AE50FA"/>
    <w:rsid w:val="54C87158"/>
    <w:rsid w:val="56407534"/>
    <w:rsid w:val="591F64C4"/>
    <w:rsid w:val="59471085"/>
    <w:rsid w:val="60845E8B"/>
    <w:rsid w:val="64226DAB"/>
    <w:rsid w:val="688E711F"/>
    <w:rsid w:val="6D301072"/>
    <w:rsid w:val="6F567302"/>
    <w:rsid w:val="775015E2"/>
    <w:rsid w:val="77682CF7"/>
    <w:rsid w:val="776E1C43"/>
    <w:rsid w:val="78281DF2"/>
    <w:rsid w:val="78707896"/>
    <w:rsid w:val="7B5A62DF"/>
    <w:rsid w:val="7E8B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4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</w:rPr>
  </w:style>
  <w:style w:type="paragraph" w:styleId="5">
    <w:name w:val="Body Text Indent"/>
    <w:basedOn w:val="1"/>
    <w:autoRedefine/>
    <w:semiHidden/>
    <w:unhideWhenUsed/>
    <w:qFormat/>
    <w:uiPriority w:val="99"/>
    <w:pPr>
      <w:spacing w:line="360" w:lineRule="auto"/>
      <w:ind w:firstLine="570"/>
    </w:pPr>
    <w:rPr>
      <w:sz w:val="24"/>
      <w:szCs w:val="24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customStyle="1" w:styleId="12">
    <w:name w:val="标题 4 字符"/>
    <w:basedOn w:val="10"/>
    <w:link w:val="3"/>
    <w:autoRedefine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3">
    <w:name w:val="页眉 字符"/>
    <w:basedOn w:val="10"/>
    <w:link w:val="7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6">
    <w:name w:val="标准正文"/>
    <w:basedOn w:val="5"/>
    <w:autoRedefine/>
    <w:qFormat/>
    <w:uiPriority w:val="0"/>
    <w:pPr>
      <w:spacing w:before="60" w:after="60"/>
      <w:ind w:firstLine="48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2385</Words>
  <Characters>2467</Characters>
  <Lines>27</Lines>
  <Paragraphs>7</Paragraphs>
  <TotalTime>13</TotalTime>
  <ScaleCrop>false</ScaleCrop>
  <LinksUpToDate>false</LinksUpToDate>
  <CharactersWithSpaces>2498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2026-09-15T04:07:00Z</dcterms:created>
  <dc:creator>石 霄</dc:creator>
  <cp:lastModifiedBy>曾凡荣</cp:lastModifiedBy>
  <dcterms:modified xsi:type="dcterms:W3CDTF">2026-09-15T06:53:08Z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8C7FC14324E2448FAA3316BEBA30A6DE_13</vt:lpwstr>
  </property>
  <property fmtid="{D5CDD505-2E9C-101B-9397-08002B2CF9AE}" pid="4" name="KSOTemplateDocerSaveRecord">
    <vt:lpwstr>eyJoZGlkIjoiMDEzMmVlYmFmMzI1NDMzMmQwMTg3NWYxOTE4MDJkYTQiLCJ1c2VySWQiOiIxNTU4MTIxMjA3In0=</vt:lpwstr>
  </property>
</Properties>
</file>