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598F9">
      <w:pPr>
        <w:jc w:val="center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云南省第一人民医院——</w:t>
      </w:r>
      <w:r>
        <w:rPr>
          <w:rFonts w:hint="eastAsia"/>
          <w:sz w:val="34"/>
          <w:szCs w:val="34"/>
          <w:lang w:val="en-US" w:eastAsia="zh-CN"/>
        </w:rPr>
        <w:t>云南省护理质量控制中心门户网站质控数据平台</w:t>
      </w:r>
      <w:r>
        <w:rPr>
          <w:rFonts w:hint="eastAsia"/>
          <w:sz w:val="34"/>
          <w:szCs w:val="34"/>
          <w:lang w:eastAsia="zh-CN"/>
        </w:rPr>
        <w:t>运维服务项目建设方案</w:t>
      </w:r>
    </w:p>
    <w:p w14:paraId="5B672639">
      <w:pPr>
        <w:rPr>
          <w:rFonts w:hint="eastAsia"/>
          <w:sz w:val="34"/>
          <w:szCs w:val="34"/>
          <w:lang w:eastAsia="zh-CN"/>
        </w:rPr>
      </w:pPr>
    </w:p>
    <w:p w14:paraId="703A2548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一、项目需求理解分析</w:t>
      </w:r>
    </w:p>
    <w:p w14:paraId="0A163E03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1.业务分析</w:t>
      </w:r>
    </w:p>
    <w:p w14:paraId="1E22D0E4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本项目为云南省护理质控平台运维服务，平台依托云南省第一人民医院省级护理质控中心，服务省卫健委、全省16个州市质控中心、全省二级及以上医疗机构。核心业务包含护理敏感指标上报、护理不良事件上报、</w:t>
      </w:r>
      <w:r>
        <w:rPr>
          <w:rFonts w:hint="eastAsia"/>
          <w:sz w:val="34"/>
          <w:szCs w:val="34"/>
          <w:lang w:val="en-US" w:eastAsia="zh-CN"/>
        </w:rPr>
        <w:t>现场</w:t>
      </w:r>
      <w:r>
        <w:rPr>
          <w:rFonts w:hint="eastAsia"/>
          <w:sz w:val="34"/>
          <w:szCs w:val="34"/>
          <w:lang w:eastAsia="zh-CN"/>
        </w:rPr>
        <w:t>质控</w:t>
      </w:r>
      <w:r>
        <w:rPr>
          <w:rFonts w:hint="eastAsia"/>
          <w:sz w:val="34"/>
          <w:szCs w:val="34"/>
          <w:lang w:val="en-US" w:eastAsia="zh-CN"/>
        </w:rPr>
        <w:t>评价及</w:t>
      </w:r>
      <w:r>
        <w:rPr>
          <w:rFonts w:hint="eastAsia"/>
          <w:sz w:val="34"/>
          <w:szCs w:val="34"/>
          <w:lang w:eastAsia="zh-CN"/>
        </w:rPr>
        <w:t>闭环整改、护理质量数据分析、护士执业环境测评、质控知识库管理、对接国家护理质量平台、质控业务培训指导。</w:t>
      </w:r>
    </w:p>
    <w:p w14:paraId="174A1B1B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业务流程遵循：医疗机构上报→州市初审→省级审核→数据入库分析→预警下发→整改反馈→复核归档PDCA闭环管</w:t>
      </w:r>
      <w:r>
        <w:rPr>
          <w:rFonts w:hint="eastAsia"/>
          <w:sz w:val="34"/>
          <w:szCs w:val="34"/>
          <w:highlight w:val="none"/>
          <w:lang w:eastAsia="zh-CN"/>
        </w:rPr>
        <w:t>理。平台接入机构</w:t>
      </w:r>
      <w:r>
        <w:rPr>
          <w:rFonts w:hint="eastAsia"/>
          <w:color w:val="auto"/>
          <w:sz w:val="34"/>
          <w:szCs w:val="34"/>
          <w:highlight w:val="none"/>
          <w:lang w:val="en-US" w:eastAsia="zh-CN"/>
        </w:rPr>
        <w:t>500</w:t>
      </w:r>
      <w:r>
        <w:rPr>
          <w:rFonts w:hint="eastAsia"/>
          <w:color w:val="auto"/>
          <w:sz w:val="34"/>
          <w:szCs w:val="34"/>
          <w:highlight w:val="none"/>
          <w:lang w:eastAsia="zh-CN"/>
        </w:rPr>
        <w:t>余家</w:t>
      </w:r>
      <w:r>
        <w:rPr>
          <w:rFonts w:hint="eastAsia"/>
          <w:sz w:val="34"/>
          <w:szCs w:val="34"/>
          <w:highlight w:val="none"/>
          <w:lang w:eastAsia="zh-CN"/>
        </w:rPr>
        <w:t>，季度集中指标上报，年度开展护士执业环境测评；峰值并发用户约</w:t>
      </w:r>
      <w:r>
        <w:rPr>
          <w:rFonts w:hint="eastAsia"/>
          <w:sz w:val="34"/>
          <w:szCs w:val="34"/>
          <w:highlight w:val="none"/>
          <w:lang w:val="en-US" w:eastAsia="zh-CN"/>
        </w:rPr>
        <w:t>400</w:t>
      </w:r>
      <w:r>
        <w:rPr>
          <w:rFonts w:hint="eastAsia"/>
          <w:sz w:val="34"/>
          <w:szCs w:val="34"/>
          <w:highlight w:val="none"/>
          <w:lang w:eastAsia="zh-CN"/>
        </w:rPr>
        <w:t>人，覆盖省级、州市、医院护理部、科室质控护士多类用户。</w:t>
      </w:r>
    </w:p>
    <w:p w14:paraId="5CABEE0C">
      <w:pPr>
        <w:ind w:firstLine="680" w:firstLineChars="200"/>
        <w:rPr>
          <w:rFonts w:hint="eastAsia"/>
          <w:sz w:val="34"/>
          <w:szCs w:val="34"/>
          <w:lang w:eastAsia="zh-CN"/>
        </w:rPr>
      </w:pPr>
    </w:p>
    <w:p w14:paraId="5834374E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2.数据量分析</w:t>
      </w:r>
    </w:p>
    <w:p w14:paraId="1903DF13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每季度结构化业务数据增量约12万条，年度增量45万条；非结构化整改材料、课件等附件年度增量80GB；存量总数据约220GB，规划3‑5年总存储500GB。</w:t>
      </w:r>
    </w:p>
    <w:p w14:paraId="49ED2EC3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各医疗机构通过互联网、政务外网上报数据，服务器出口带宽≥50Mbps，支持IPv4/IPv6双栈，接口同步延迟≤3秒，保障批量上报高峰期传输稳定。</w:t>
      </w:r>
    </w:p>
    <w:p w14:paraId="6DCE4CE0">
      <w:pPr>
        <w:rPr>
          <w:rFonts w:hint="eastAsia"/>
          <w:sz w:val="34"/>
          <w:szCs w:val="34"/>
          <w:lang w:eastAsia="zh-CN"/>
        </w:rPr>
      </w:pPr>
    </w:p>
    <w:p w14:paraId="19B92124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3.系统需求分析</w:t>
      </w:r>
    </w:p>
    <w:p w14:paraId="44B47514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功能需求：具备多模式数据采集上报、三级审核闭环管理、多维度统计可视化预警、知识库培训管理、跨平台数据交换、分级权限与安全审计能力，内置护理质控标准指标库。</w:t>
      </w:r>
    </w:p>
    <w:p w14:paraId="5464A650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性能指标：普通页面响应≤2s；1万条批量导入处理≤3分钟；平台全年可用率≥99.5%；支持350并发用户；数据查询响应≤3秒，数据上报不丢失、不重复。</w:t>
      </w:r>
    </w:p>
    <w:p w14:paraId="22DAE54B">
      <w:pPr>
        <w:rPr>
          <w:rFonts w:hint="eastAsia"/>
          <w:sz w:val="34"/>
          <w:szCs w:val="34"/>
          <w:lang w:eastAsia="zh-CN"/>
        </w:rPr>
      </w:pPr>
    </w:p>
    <w:p w14:paraId="3E9D4CB6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二、总体设计方案</w:t>
      </w:r>
    </w:p>
    <w:p w14:paraId="57E7A055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1、</w:t>
      </w:r>
      <w:r>
        <w:rPr>
          <w:rFonts w:hint="eastAsia"/>
          <w:sz w:val="34"/>
          <w:szCs w:val="34"/>
          <w:lang w:eastAsia="zh-CN"/>
        </w:rPr>
        <w:t>整体框架</w:t>
      </w:r>
    </w:p>
    <w:p w14:paraId="5276B0FD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采用分层架构：用户接入层、应用服务层、数据服务层、基础设施层、安全保障层，模块解耦，支持功能迭代与横向扩容。</w:t>
      </w:r>
    </w:p>
    <w:p w14:paraId="56397051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用户接入层：Web浏览器访问，服务全省各级质控管理人员；</w:t>
      </w:r>
    </w:p>
    <w:p w14:paraId="505C2E4E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应用服务层：指标上报、不良事件、质控考评、统计看板、知识库、系统管理、对外接口七大模块；</w:t>
      </w:r>
    </w:p>
    <w:p w14:paraId="644B684A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数据服务层：完成数据采集、清洗校验、标准化、共享交换；</w:t>
      </w:r>
    </w:p>
    <w:p w14:paraId="6B1D1A60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基础设施层：服务器、存储、网络、数据库、中间件软硬件资源；</w:t>
      </w:r>
    </w:p>
    <w:p w14:paraId="66D9C0F0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安全保障层：身份认证、访问控制、日志审计、数据加密、备份恢复、边界安全防护。</w:t>
      </w:r>
    </w:p>
    <w:p w14:paraId="26DF581F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2、</w:t>
      </w:r>
      <w:r>
        <w:rPr>
          <w:rFonts w:hint="eastAsia"/>
          <w:sz w:val="34"/>
          <w:szCs w:val="34"/>
          <w:lang w:eastAsia="zh-CN"/>
        </w:rPr>
        <w:t>技术路线</w:t>
      </w:r>
    </w:p>
    <w:p w14:paraId="7DCA008D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采用B/S前后端分离架构，微服务模块化设计，兼容国产化软硬件；遵循国家、云南省医疗信息化及护理质控行业标准；支持IPv6双栈访问；对外采用RESTful标准接口实现跨系统交互。</w:t>
      </w:r>
    </w:p>
    <w:p w14:paraId="665EFFF7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业务架构</w:t>
      </w:r>
    </w:p>
    <w:p w14:paraId="57868F8E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构建省‑州市‑医疗机构三级质控业务体系。省级负责标准制定、数据汇总分析预警；州市负责辖区初审及督导；医疗机构完成数据上报、接收预警落实整改，实现护理质量持续改进。</w:t>
      </w:r>
    </w:p>
    <w:p w14:paraId="316ABA5D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3、</w:t>
      </w:r>
      <w:r>
        <w:rPr>
          <w:rFonts w:hint="eastAsia"/>
          <w:sz w:val="34"/>
          <w:szCs w:val="34"/>
          <w:lang w:eastAsia="zh-CN"/>
        </w:rPr>
        <w:t>数据架构</w:t>
      </w:r>
    </w:p>
    <w:p w14:paraId="4F04CC77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数据源包含医疗机构系统接口自动采集、网页手工填报、Excel批量导入；数据经过校验清洗后分业务库、分析库存储；完成向上、横向系统数据交换，对外共享数据执行脱敏处理，保护隐私数据。</w:t>
      </w:r>
    </w:p>
    <w:p w14:paraId="5AF380B5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4、</w:t>
      </w:r>
      <w:r>
        <w:rPr>
          <w:rFonts w:hint="eastAsia"/>
          <w:sz w:val="34"/>
          <w:szCs w:val="34"/>
          <w:lang w:eastAsia="zh-CN"/>
        </w:rPr>
        <w:t>部署拓扑架构</w:t>
      </w:r>
    </w:p>
    <w:p w14:paraId="552C4BED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平台部署于云南省第一人民医院机房，包含应用集群、数据库、存储、负载均衡、防火墙设备；通过安全网关对接政务外网及互联网；网络网段逻辑隔离。投标阶段同步提供可编辑总体架构图、业务架构图、数据流程图、网络部署拓扑图。</w:t>
      </w:r>
    </w:p>
    <w:p w14:paraId="11E5EEA4">
      <w:pPr>
        <w:rPr>
          <w:rFonts w:hint="eastAsia"/>
          <w:sz w:val="34"/>
          <w:szCs w:val="34"/>
          <w:lang w:eastAsia="zh-CN"/>
        </w:rPr>
      </w:pPr>
    </w:p>
    <w:p w14:paraId="140D067C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三、项目细化建设方案</w:t>
      </w:r>
    </w:p>
    <w:p w14:paraId="64B21FB3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1、数据资源建设</w:t>
      </w:r>
    </w:p>
    <w:p w14:paraId="563BC7DC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严格执行国家护理质量指标规范及云南省医疗健康数据标准，统一元数据与编码。</w:t>
      </w:r>
    </w:p>
    <w:p w14:paraId="67896FC4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1</w:t>
      </w:r>
      <w:r>
        <w:rPr>
          <w:rFonts w:hint="eastAsia"/>
          <w:sz w:val="34"/>
          <w:szCs w:val="34"/>
          <w:lang w:eastAsia="zh-CN"/>
        </w:rPr>
        <w:t>）数据来源：医疗机构HIS/护理系统接口自动采集；平台页面人工填报；Excel模板批量导入历史及测评数据。</w:t>
      </w:r>
    </w:p>
    <w:p w14:paraId="6E94CC35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2、</w:t>
      </w:r>
      <w:r>
        <w:rPr>
          <w:rFonts w:hint="eastAsia"/>
          <w:sz w:val="34"/>
          <w:szCs w:val="34"/>
          <w:lang w:eastAsia="zh-CN"/>
        </w:rPr>
        <w:t xml:space="preserve"> 跨系统数据共享</w:t>
      </w:r>
    </w:p>
    <w:p w14:paraId="41EDCC4A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向上对接国家护理质量数据平台，完成标准化定期上报；</w:t>
      </w:r>
    </w:p>
    <w:p w14:paraId="2722AC9C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横向对接云南省全民健康信息平台，报送脱敏汇总质控统计数据；</w:t>
      </w:r>
    </w:p>
    <w:p w14:paraId="511BA658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对内实现与院内护理系统数据互通；</w:t>
      </w:r>
    </w:p>
    <w:p w14:paraId="2B198025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向州市质控中心开放辖区内汇总数据查询，原始明细数据严格权限隔离，所有接口调用留存审计日志。</w:t>
      </w:r>
    </w:p>
    <w:p w14:paraId="7531AEDF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3、</w:t>
      </w:r>
      <w:r>
        <w:rPr>
          <w:rFonts w:hint="eastAsia"/>
          <w:sz w:val="34"/>
          <w:szCs w:val="34"/>
          <w:lang w:eastAsia="zh-CN"/>
        </w:rPr>
        <w:t>建立数据质量校验规则库，异常数据拦截退回，保障全省上报数据质量。</w:t>
      </w:r>
    </w:p>
    <w:p w14:paraId="09B2BC71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4、</w:t>
      </w:r>
      <w:r>
        <w:rPr>
          <w:rFonts w:hint="eastAsia"/>
          <w:sz w:val="34"/>
          <w:szCs w:val="34"/>
          <w:lang w:eastAsia="zh-CN"/>
        </w:rPr>
        <w:t>应用系统建设</w:t>
      </w:r>
    </w:p>
    <w:p w14:paraId="1E8F288D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（1）</w:t>
      </w:r>
      <w:r>
        <w:rPr>
          <w:rFonts w:hint="eastAsia"/>
          <w:sz w:val="34"/>
          <w:szCs w:val="34"/>
          <w:lang w:eastAsia="zh-CN"/>
        </w:rPr>
        <w:t>护理质量指标上报子系统</w:t>
      </w:r>
    </w:p>
    <w:p w14:paraId="0E06D828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维护省级统一护理敏感指标库；支持接口、导入、网页填报；省‑市‑机构三级审核；上报进度监控、逾期预警；表单、阈值可配置，按角色实现数据权限隔离。</w:t>
      </w:r>
    </w:p>
    <w:p w14:paraId="5E4733C2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2</w:t>
      </w:r>
      <w:r>
        <w:rPr>
          <w:rFonts w:hint="eastAsia"/>
          <w:sz w:val="34"/>
          <w:szCs w:val="34"/>
          <w:lang w:eastAsia="zh-CN"/>
        </w:rPr>
        <w:t>）护理不良事件管理子系统</w:t>
      </w:r>
    </w:p>
    <w:p w14:paraId="3DCA8D3A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实现跌倒、压力性损伤、非计划拔管、给药错误等事件填报、审核、原因分析、整改、销号全闭环；支持附件上传，按事件类型、地区、科室开展统计分析。</w:t>
      </w:r>
    </w:p>
    <w:p w14:paraId="72947366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3</w:t>
      </w:r>
      <w:r>
        <w:rPr>
          <w:rFonts w:hint="eastAsia"/>
          <w:sz w:val="34"/>
          <w:szCs w:val="34"/>
          <w:lang w:eastAsia="zh-CN"/>
        </w:rPr>
        <w:t>）质控</w:t>
      </w:r>
      <w:r>
        <w:rPr>
          <w:rFonts w:hint="eastAsia"/>
          <w:sz w:val="34"/>
          <w:szCs w:val="34"/>
          <w:lang w:val="en-US" w:eastAsia="zh-CN"/>
        </w:rPr>
        <w:t>检查</w:t>
      </w:r>
      <w:r>
        <w:rPr>
          <w:rFonts w:hint="eastAsia"/>
          <w:sz w:val="34"/>
          <w:szCs w:val="34"/>
          <w:lang w:eastAsia="zh-CN"/>
        </w:rPr>
        <w:t>与闭环整改子系统</w:t>
      </w:r>
    </w:p>
    <w:p w14:paraId="5AC58432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内置多专科质控检查表模板；支持线上考评打分；问题下发、整改材料提交、复核销号，全过程留痕，支持平板现场质控作业。</w:t>
      </w:r>
    </w:p>
    <w:p w14:paraId="7721B787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4</w:t>
      </w:r>
      <w:r>
        <w:rPr>
          <w:rFonts w:hint="eastAsia"/>
          <w:sz w:val="34"/>
          <w:szCs w:val="34"/>
          <w:lang w:eastAsia="zh-CN"/>
        </w:rPr>
        <w:t>）统计分析与可视化看板子系统</w:t>
      </w:r>
    </w:p>
    <w:p w14:paraId="2B48C635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实现多维度数据钻取，横向对标、纵向趋势分析；红黄橙三级质量预警；自动生成季度、年度质控报告；报表支持PDF、Excel导出。</w:t>
      </w:r>
    </w:p>
    <w:p w14:paraId="23E2B8B1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5</w:t>
      </w:r>
      <w:r>
        <w:rPr>
          <w:rFonts w:hint="eastAsia"/>
          <w:sz w:val="34"/>
          <w:szCs w:val="34"/>
          <w:lang w:eastAsia="zh-CN"/>
        </w:rPr>
        <w:t>）知识库与通知培训子系统</w:t>
      </w:r>
    </w:p>
    <w:p w14:paraId="63349F8F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管理护理质控制度规范、培训课件；发布通知公告，管理质控督导任务。</w:t>
      </w:r>
    </w:p>
    <w:p w14:paraId="675BDAF9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6</w:t>
      </w:r>
      <w:r>
        <w:rPr>
          <w:rFonts w:hint="eastAsia"/>
          <w:sz w:val="34"/>
          <w:szCs w:val="34"/>
          <w:lang w:eastAsia="zh-CN"/>
        </w:rPr>
        <w:t>）系统管理与接口服务子系统</w:t>
      </w:r>
    </w:p>
    <w:p w14:paraId="4832D34A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分级角色账号权限管理、全量操作审计日志；实现与外部平台标准化接口对接，接口运行状态监控。</w:t>
      </w:r>
    </w:p>
    <w:p w14:paraId="3230803A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跨部门协同：省卫健委查看全省汇总数据；州市仅查看本辖区数据；医疗机构仅访问本院业务数据；原始明细数据严格管控，所有访问操作留痕审计。</w:t>
      </w:r>
    </w:p>
    <w:p w14:paraId="1644C365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5、</w:t>
      </w:r>
      <w:r>
        <w:rPr>
          <w:rFonts w:hint="eastAsia"/>
          <w:sz w:val="34"/>
          <w:szCs w:val="34"/>
          <w:lang w:eastAsia="zh-CN"/>
        </w:rPr>
        <w:t>计算存储及平台软件建设</w:t>
      </w:r>
    </w:p>
    <w:p w14:paraId="71A7BC75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处理能力：满足</w:t>
      </w:r>
      <w:r>
        <w:rPr>
          <w:rFonts w:hint="eastAsia"/>
          <w:sz w:val="34"/>
          <w:szCs w:val="34"/>
          <w:lang w:val="en-US" w:eastAsia="zh-CN"/>
        </w:rPr>
        <w:t>5</w:t>
      </w:r>
      <w:r>
        <w:rPr>
          <w:rFonts w:hint="eastAsia"/>
          <w:sz w:val="34"/>
          <w:szCs w:val="34"/>
          <w:lang w:eastAsia="zh-CN"/>
        </w:rPr>
        <w:t>00+医疗机构接入，峰值</w:t>
      </w:r>
      <w:r>
        <w:rPr>
          <w:rFonts w:hint="eastAsia"/>
          <w:sz w:val="34"/>
          <w:szCs w:val="34"/>
          <w:lang w:val="en-US" w:eastAsia="zh-CN"/>
        </w:rPr>
        <w:t>400</w:t>
      </w:r>
      <w:r>
        <w:rPr>
          <w:rFonts w:hint="eastAsia"/>
          <w:sz w:val="34"/>
          <w:szCs w:val="34"/>
          <w:lang w:eastAsia="zh-CN"/>
        </w:rPr>
        <w:t>并发，可随业务增长平滑扩容算力与存储。</w:t>
      </w:r>
    </w:p>
    <w:p w14:paraId="1D8FBE91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软硬件选型原则：符合行业标准、技术成熟、兼容性好、兼顾国产化适配、性价比高、厂商服务能力强。</w:t>
      </w:r>
    </w:p>
    <w:p w14:paraId="4C61C21A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操作系统：国产服务器操作系统，兼容主流Linux；</w:t>
      </w:r>
    </w:p>
    <w:p w14:paraId="6832B6FD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数据库：国产关系型数据库，主备高可用集群，支持读写分离；</w:t>
      </w:r>
    </w:p>
    <w:p w14:paraId="4B435D74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中间件：国产应用中间件，配置负载均衡；</w:t>
      </w:r>
    </w:p>
    <w:p w14:paraId="47DCAC4F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存储：分布式存储，区分热、冷数据，配置RAID冗余；执行数据库与附件定期自动备份，开展备份有效性校验。</w:t>
      </w:r>
    </w:p>
    <w:p w14:paraId="40CBE243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6、</w:t>
      </w:r>
      <w:r>
        <w:rPr>
          <w:rFonts w:hint="eastAsia"/>
          <w:sz w:val="34"/>
          <w:szCs w:val="34"/>
          <w:lang w:eastAsia="zh-CN"/>
        </w:rPr>
        <w:t>网络系统建设</w:t>
      </w:r>
    </w:p>
    <w:p w14:paraId="5D208F90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1</w:t>
      </w:r>
      <w:r>
        <w:rPr>
          <w:rFonts w:hint="eastAsia"/>
          <w:sz w:val="34"/>
          <w:szCs w:val="34"/>
          <w:lang w:eastAsia="zh-CN"/>
        </w:rPr>
        <w:t>）网络结构：机房内部划分业务、存储、管理网段，逻辑隔离；通过防火墙、安全网关实现内外网交互，部署负载均衡分发访问流量。</w:t>
      </w:r>
    </w:p>
    <w:p w14:paraId="2528ED75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2</w:t>
      </w:r>
      <w:r>
        <w:rPr>
          <w:rFonts w:hint="eastAsia"/>
          <w:sz w:val="34"/>
          <w:szCs w:val="34"/>
          <w:lang w:eastAsia="zh-CN"/>
        </w:rPr>
        <w:t>） 带宽：出口带宽≥50Mbps，网络时延≤50ms，丢包率＜1%。</w:t>
      </w:r>
    </w:p>
    <w:p w14:paraId="38106ABC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3</w:t>
      </w:r>
      <w:r>
        <w:rPr>
          <w:rFonts w:hint="eastAsia"/>
          <w:sz w:val="34"/>
          <w:szCs w:val="34"/>
          <w:lang w:eastAsia="zh-CN"/>
        </w:rPr>
        <w:t>）IPv6：业务访问、对外接口实现IPv4/IPv6双栈，满足等保测评要求。</w:t>
      </w:r>
    </w:p>
    <w:p w14:paraId="3A7DDA00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4</w:t>
      </w:r>
      <w:r>
        <w:rPr>
          <w:rFonts w:hint="eastAsia"/>
          <w:sz w:val="34"/>
          <w:szCs w:val="34"/>
          <w:lang w:eastAsia="zh-CN"/>
        </w:rPr>
        <w:t>）网络设备：选用成熟主流防火墙、交换机、负载均衡；配置访问控制策略，留存网络日志，防范网络攻击。</w:t>
      </w:r>
    </w:p>
    <w:p w14:paraId="2735139E">
      <w:pPr>
        <w:rPr>
          <w:rFonts w:hint="eastAsia"/>
          <w:sz w:val="34"/>
          <w:szCs w:val="34"/>
          <w:lang w:eastAsia="zh-CN"/>
        </w:rPr>
      </w:pPr>
    </w:p>
    <w:p w14:paraId="187F14E5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四、服务要求</w:t>
      </w:r>
    </w:p>
    <w:p w14:paraId="21698127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1、</w:t>
      </w:r>
      <w:r>
        <w:rPr>
          <w:rFonts w:hint="eastAsia"/>
          <w:sz w:val="34"/>
          <w:szCs w:val="34"/>
          <w:lang w:eastAsia="zh-CN"/>
        </w:rPr>
        <w:t>服务保障</w:t>
      </w:r>
    </w:p>
    <w:p w14:paraId="642630B3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1</w:t>
      </w:r>
      <w:r>
        <w:rPr>
          <w:rFonts w:hint="eastAsia"/>
          <w:sz w:val="34"/>
          <w:szCs w:val="34"/>
          <w:lang w:eastAsia="zh-CN"/>
        </w:rPr>
        <w:t>）免费质保期：项目终验通过后提供7×24小时运维质保，质保期包含缺陷BUG修复、小版本优化迭代、接口维护、技术支持、定期巡检。</w:t>
      </w:r>
    </w:p>
    <w:p w14:paraId="4EBEE3F1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2</w:t>
      </w:r>
      <w:r>
        <w:rPr>
          <w:rFonts w:hint="eastAsia"/>
          <w:sz w:val="34"/>
          <w:szCs w:val="34"/>
          <w:lang w:eastAsia="zh-CN"/>
        </w:rPr>
        <w:t>）服务计划</w:t>
      </w:r>
    </w:p>
    <w:p w14:paraId="39132C78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日常运维：月度系统巡检并出具巡检报告；每日自动备份，定期验证备份可用性；</w:t>
      </w:r>
    </w:p>
    <w:p w14:paraId="0FD616B5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业务高峰期（季度集中上报）提供远程值守保障；</w:t>
      </w:r>
    </w:p>
    <w:p w14:paraId="61143A1D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年度配合安全测评、等保工作，输出年度运维报告；</w:t>
      </w:r>
    </w:p>
    <w:p w14:paraId="474F29C9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面向质控管理人员提供线上及线下操作培训，交付操作手册。</w:t>
      </w:r>
    </w:p>
    <w:p w14:paraId="47E52DF8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（</w:t>
      </w:r>
      <w:r>
        <w:rPr>
          <w:rFonts w:hint="eastAsia"/>
          <w:sz w:val="34"/>
          <w:szCs w:val="34"/>
          <w:lang w:val="en-US" w:eastAsia="zh-CN"/>
        </w:rPr>
        <w:t>3</w:t>
      </w:r>
      <w:r>
        <w:rPr>
          <w:rFonts w:hint="eastAsia"/>
          <w:sz w:val="34"/>
          <w:szCs w:val="34"/>
          <w:lang w:eastAsia="zh-CN"/>
        </w:rPr>
        <w:t>）故障响应服务承诺</w:t>
      </w:r>
    </w:p>
    <w:p w14:paraId="71EA4F2D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重大故障（平台整体不可用、业务中断）：30分钟响应，远程优先处置，4小时现场到场；</w:t>
      </w:r>
    </w:p>
    <w:p w14:paraId="4513A470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一般故障（局部功能异常）：2小时响应，4小时提供处置方案；</w:t>
      </w:r>
    </w:p>
    <w:p w14:paraId="4DEED4C1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• 咨询问题：工作时间1小时内回复；</w:t>
      </w:r>
    </w:p>
    <w:p w14:paraId="1248DC64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平台年度可用率≥99.5%；全部业务日志留存；平台全部数据资产归属云南省第一人民医院，支持完整导出，保障项目交接。</w:t>
      </w:r>
    </w:p>
    <w:p w14:paraId="0BD6BE2B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2、</w:t>
      </w:r>
      <w:r>
        <w:rPr>
          <w:rFonts w:hint="eastAsia"/>
          <w:sz w:val="34"/>
          <w:szCs w:val="34"/>
          <w:lang w:eastAsia="zh-CN"/>
        </w:rPr>
        <w:t>应急预案</w:t>
      </w:r>
    </w:p>
    <w:p w14:paraId="052D62CF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编制平台宕机、数据库故障恢复、流量拥堵、网络安全攻击、数据泄露专项应急预案，明确RTO/RPO指标，定期开展应急演练。</w:t>
      </w:r>
    </w:p>
    <w:p w14:paraId="42961901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>3、</w:t>
      </w:r>
      <w:bookmarkStart w:id="0" w:name="_GoBack"/>
      <w:bookmarkEnd w:id="0"/>
      <w:r>
        <w:rPr>
          <w:rFonts w:hint="eastAsia"/>
          <w:sz w:val="34"/>
          <w:szCs w:val="34"/>
          <w:lang w:eastAsia="zh-CN"/>
        </w:rPr>
        <w:t>服务业绩</w:t>
      </w:r>
    </w:p>
    <w:p w14:paraId="5441A94C">
      <w:pPr>
        <w:ind w:firstLine="680" w:firstLineChars="200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供应商可在咨询阶段提供省级/区域护理质控平台同类项目运维业绩，提供项目视频、截图、用户证明材料，供医院评估服务能力。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329D2"/>
    <w:rsid w:val="0C006EB6"/>
    <w:rsid w:val="0CC30B34"/>
    <w:rsid w:val="0CD345CA"/>
    <w:rsid w:val="0E792F4F"/>
    <w:rsid w:val="120847EE"/>
    <w:rsid w:val="2471674B"/>
    <w:rsid w:val="25331C52"/>
    <w:rsid w:val="285D7B58"/>
    <w:rsid w:val="29A273A6"/>
    <w:rsid w:val="2B02634F"/>
    <w:rsid w:val="30717AD3"/>
    <w:rsid w:val="42040E16"/>
    <w:rsid w:val="421B164C"/>
    <w:rsid w:val="434B3625"/>
    <w:rsid w:val="4E1C6E78"/>
    <w:rsid w:val="5A7B6CD4"/>
    <w:rsid w:val="63B75F7D"/>
    <w:rsid w:val="769530A5"/>
    <w:rsid w:val="7C350F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2785</Words>
  <Characters>2934</Characters>
  <Lines>0</Lines>
  <Paragraphs>0</Paragraphs>
  <TotalTime>21</TotalTime>
  <ScaleCrop>false</ScaleCrop>
  <LinksUpToDate>false</LinksUpToDate>
  <CharactersWithSpaces>2965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2026-09-16T05:12:00Z</dcterms:created>
  <dc:creator>iPhone</dc:creator>
  <cp:lastModifiedBy>西西皮</cp:lastModifiedBy>
  <dcterms:modified xsi:type="dcterms:W3CDTF">2026-09-16T06:56:32Z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EBD46E61571344A29E3B13A191CF02A9_13</vt:lpwstr>
  </property>
  <property fmtid="{D5CDD505-2E9C-101B-9397-08002B2CF9AE}" pid="4" name="KSOTemplateDocerSaveRecord">
    <vt:lpwstr>eyJoZGlkIjoiNzhiZWIwNWY5NGMxYWE2N2I2NmMzYzIzMGMxNGUxYzMiLCJ1c2VySWQiOiIzNTE4MzEzODgifQ==</vt:lpwstr>
  </property>
</Properties>
</file>