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D2B98">
      <w:pPr>
        <w:widowControl/>
        <w:jc w:val="center"/>
        <w:rPr>
          <w:sz w:val="36"/>
          <w:szCs w:val="36"/>
        </w:rPr>
      </w:pPr>
      <w:r>
        <w:rPr>
          <w:rFonts w:ascii="SourceHanSansCN-Medium" w:hAnsi="SourceHanSansCN-Medium" w:eastAsia="SourceHanSansCN-Medium" w:cs="SourceHanSansCN-Medium"/>
          <w:color w:val="000000"/>
          <w:kern w:val="0"/>
          <w:sz w:val="36"/>
          <w:szCs w:val="36"/>
          <w:lang w:bidi="ar"/>
        </w:rPr>
        <w:t>病理科超融合服务器（超融合一体机）详细采购</w:t>
      </w:r>
      <w:r>
        <w:rPr>
          <w:rFonts w:hint="eastAsia" w:ascii="SourceHanSansCN-Medium" w:hAnsi="SourceHanSansCN-Medium" w:eastAsia="SourceHanSansCN-Medium" w:cs="SourceHanSansCN-Medium"/>
          <w:color w:val="000000"/>
          <w:kern w:val="0"/>
          <w:sz w:val="36"/>
          <w:szCs w:val="36"/>
          <w:lang w:bidi="ar"/>
        </w:rPr>
        <w:t>需</w:t>
      </w:r>
      <w:r>
        <w:rPr>
          <w:rFonts w:ascii="SourceHanSansCN-Medium" w:hAnsi="SourceHanSansCN-Medium" w:eastAsia="SourceHanSansCN-Medium" w:cs="SourceHanSansCN-Medium"/>
          <w:color w:val="000000"/>
          <w:kern w:val="0"/>
          <w:sz w:val="36"/>
          <w:szCs w:val="36"/>
          <w:lang w:bidi="ar"/>
        </w:rPr>
        <w:t>求</w:t>
      </w:r>
    </w:p>
    <w:p w14:paraId="193E5DE2">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项目用途及业务场景</w:t>
      </w:r>
    </w:p>
    <w:p w14:paraId="08A45DA7">
      <w:pPr>
        <w:widowControl/>
        <w:ind w:firstLine="420"/>
        <w:jc w:val="left"/>
      </w:pPr>
      <w:r>
        <w:rPr>
          <w:rFonts w:ascii="SourceHanSansCN-Regular" w:hAnsi="SourceHanSansCN-Regular" w:eastAsia="SourceHanSansCN-Regular" w:cs="SourceHanSansCN-Regular"/>
          <w:color w:val="000000"/>
          <w:kern w:val="0"/>
          <w:sz w:val="24"/>
          <w:lang w:bidi="ar"/>
        </w:rPr>
        <w:t>本次采购超融合一体化服务器平台，用于</w:t>
      </w:r>
      <w:r>
        <w:rPr>
          <w:rFonts w:ascii="SourceHanSansCN-Bold" w:hAnsi="SourceHanSansCN-Bold" w:eastAsia="SourceHanSansCN-Bold" w:cs="SourceHanSansCN-Bold"/>
          <w:b/>
          <w:bCs/>
          <w:color w:val="000000"/>
          <w:kern w:val="0"/>
          <w:sz w:val="24"/>
          <w:lang w:bidi="ar"/>
        </w:rPr>
        <w:t>医院病理科数字化诊断核心业务承载</w:t>
      </w:r>
      <w:r>
        <w:rPr>
          <w:rFonts w:ascii="SourceHanSansCN-Regular" w:hAnsi="SourceHanSansCN-Regular" w:eastAsia="SourceHanSansCN-Regular" w:cs="SourceHanSansCN-Regular"/>
          <w:color w:val="000000"/>
          <w:kern w:val="0"/>
          <w:sz w:val="24"/>
          <w:lang w:bidi="ar"/>
        </w:rPr>
        <w:t>，主要运行：病理LIS系-统、病理数据库、数字病理WSI全切片影像存储、切片在线阅片、病理影像归档、业务虚拟机统一虚-拟化平台。</w:t>
      </w:r>
    </w:p>
    <w:p w14:paraId="24A98C23">
      <w:pPr>
        <w:widowControl/>
        <w:jc w:val="left"/>
      </w:pPr>
      <w:r>
        <w:rPr>
          <w:rFonts w:ascii="SourceHanSansCN-Regular" w:hAnsi="SourceHanSansCN-Regular" w:eastAsia="SourceHanSansCN-Regular" w:cs="SourceHanSansCN-Regular"/>
          <w:color w:val="000000"/>
          <w:kern w:val="0"/>
          <w:sz w:val="24"/>
          <w:lang w:bidi="ar"/>
        </w:rPr>
        <w:t>病理业务特点：</w:t>
      </w:r>
      <w:r>
        <w:rPr>
          <w:rFonts w:ascii="SourceHanSansCN-Bold" w:hAnsi="SourceHanSansCN-Bold" w:eastAsia="SourceHanSansCN-Bold" w:cs="SourceHanSansCN-Bold"/>
          <w:b/>
          <w:bCs/>
          <w:color w:val="000000"/>
          <w:kern w:val="0"/>
          <w:sz w:val="24"/>
          <w:lang w:bidi="ar"/>
        </w:rPr>
        <w:t>单张切片文件大（1–5GB/张）、并发读取量大、长期归档数据海量、患者隐私数据等-级高、业务全年7×24小时不可停机</w:t>
      </w:r>
      <w:r>
        <w:rPr>
          <w:rFonts w:ascii="SourceHanSansCN-Regular" w:hAnsi="SourceHanSansCN-Regular" w:eastAsia="SourceHanSansCN-Regular" w:cs="SourceHanSansCN-Regular"/>
          <w:color w:val="000000"/>
          <w:kern w:val="0"/>
          <w:sz w:val="24"/>
          <w:lang w:bidi="ar"/>
        </w:rPr>
        <w:t>。</w:t>
      </w:r>
    </w:p>
    <w:p w14:paraId="1771E499">
      <w:pPr>
        <w:widowControl/>
        <w:ind w:firstLine="420"/>
        <w:jc w:val="left"/>
      </w:pPr>
      <w:r>
        <w:rPr>
          <w:rFonts w:ascii="SourceHanSansCN-Regular" w:hAnsi="SourceHanSansCN-Regular" w:eastAsia="SourceHanSansCN-Regular" w:cs="SourceHanSansCN-Regular"/>
          <w:color w:val="000000"/>
          <w:kern w:val="0"/>
          <w:sz w:val="24"/>
          <w:lang w:bidi="ar"/>
        </w:rPr>
        <w:t>现有设备存在IO性能不足、无分布式冗余、无高可用、数据无多副本保护、无法满足等保要求，需全-新建设医疗级超融合算力存储一体化平台。</w:t>
      </w:r>
    </w:p>
    <w:p w14:paraId="075B78CF">
      <w:pPr>
        <w:widowControl/>
        <w:ind w:firstLine="420"/>
        <w:jc w:val="left"/>
      </w:pPr>
      <w:r>
        <w:rPr>
          <w:rFonts w:ascii="SourceHanSansCN-Regular" w:hAnsi="SourceHanSansCN-Regular" w:eastAsia="SourceHanSansCN-Regular" w:cs="SourceHanSansCN-Regular"/>
          <w:color w:val="000000"/>
          <w:kern w:val="0"/>
          <w:sz w:val="24"/>
          <w:lang w:bidi="ar"/>
        </w:rPr>
        <w:t>同时，为落实国家信息技术应用创新（信创）战略及医疗卫生行业国产化替代政策要求，本次平台建设须同步满足国产化、自主可控要求，优先采用国产软硬件技术路线。</w:t>
      </w:r>
    </w:p>
    <w:p w14:paraId="5B364BA7">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整体架构总体要求</w:t>
      </w:r>
    </w:p>
    <w:p w14:paraId="4D01372F">
      <w:pPr>
        <w:widowControl/>
        <w:numPr>
          <w:ilvl w:val="0"/>
          <w:numId w:val="2"/>
        </w:numPr>
        <w:jc w:val="left"/>
      </w:pPr>
      <w:r>
        <w:rPr>
          <w:rFonts w:ascii="SourceHanSansCN-Regular" w:hAnsi="SourceHanSansCN-Regular" w:eastAsia="SourceHanSansCN-Regular" w:cs="SourceHanSansCN-Regular"/>
          <w:color w:val="000000"/>
          <w:kern w:val="0"/>
          <w:sz w:val="24"/>
          <w:lang w:bidi="ar"/>
        </w:rPr>
        <w:t>整体采用</w:t>
      </w:r>
      <w:r>
        <w:rPr>
          <w:rFonts w:ascii="SourceHanSansCN-Bold" w:hAnsi="SourceHanSansCN-Bold" w:eastAsia="SourceHanSansCN-Bold" w:cs="SourceHanSansCN-Bold"/>
          <w:b/>
          <w:bCs/>
          <w:color w:val="000000"/>
          <w:kern w:val="0"/>
          <w:sz w:val="24"/>
          <w:lang w:bidi="ar"/>
        </w:rPr>
        <w:t>标准3节点超融合集群架构</w:t>
      </w:r>
      <w:r>
        <w:rPr>
          <w:rFonts w:ascii="SourceHanSansCN-Regular" w:hAnsi="SourceHanSansCN-Regular" w:eastAsia="SourceHanSansCN-Regular" w:cs="SourceHanSansCN-Regular"/>
          <w:color w:val="000000"/>
          <w:kern w:val="0"/>
          <w:sz w:val="24"/>
          <w:lang w:bidi="ar"/>
        </w:rPr>
        <w:t>（最少3节点，满足副本、高可用、故障自动迁移）</w:t>
      </w:r>
    </w:p>
    <w:p w14:paraId="42AEE708">
      <w:pPr>
        <w:widowControl/>
        <w:numPr>
          <w:ilvl w:val="0"/>
          <w:numId w:val="2"/>
        </w:numPr>
        <w:jc w:val="left"/>
      </w:pPr>
      <w:r>
        <w:rPr>
          <w:rFonts w:ascii="SourceHanSansCN-Regular" w:hAnsi="SourceHanSansCN-Regular" w:eastAsia="SourceHanSansCN-Regular" w:cs="SourceHanSansCN-Regular"/>
          <w:color w:val="000000"/>
          <w:kern w:val="0"/>
          <w:sz w:val="24"/>
          <w:lang w:bidi="ar"/>
        </w:rPr>
        <w:t>架构为</w:t>
      </w:r>
      <w:r>
        <w:rPr>
          <w:rFonts w:ascii="SourceHanSansCN-Bold" w:hAnsi="SourceHanSansCN-Bold" w:eastAsia="SourceHanSansCN-Bold" w:cs="SourceHanSansCN-Bold"/>
          <w:b/>
          <w:bCs/>
          <w:color w:val="000000"/>
          <w:kern w:val="0"/>
          <w:sz w:val="24"/>
          <w:lang w:bidi="ar"/>
        </w:rPr>
        <w:t>计算存储一体化超融合架构</w:t>
      </w:r>
      <w:r>
        <w:rPr>
          <w:rFonts w:ascii="SourceHanSansCN-Regular" w:hAnsi="SourceHanSansCN-Regular" w:eastAsia="SourceHanSansCN-Regular" w:cs="SourceHanSansCN-Regular"/>
          <w:color w:val="000000"/>
          <w:kern w:val="0"/>
          <w:sz w:val="24"/>
          <w:lang w:bidi="ar"/>
        </w:rPr>
        <w:t>，每节点同时提供计算资源与本地存储资源</w:t>
      </w:r>
    </w:p>
    <w:p w14:paraId="4AE1F965">
      <w:pPr>
        <w:widowControl/>
        <w:numPr>
          <w:ilvl w:val="0"/>
          <w:numId w:val="2"/>
        </w:numPr>
        <w:jc w:val="left"/>
      </w:pPr>
      <w:r>
        <w:rPr>
          <w:rFonts w:ascii="SourceHanSansCN-Regular" w:hAnsi="SourceHanSansCN-Regular" w:eastAsia="SourceHanSansCN-Regular" w:cs="SourceHanSansCN-Regular"/>
          <w:color w:val="000000"/>
          <w:kern w:val="0"/>
          <w:sz w:val="24"/>
          <w:lang w:bidi="ar"/>
        </w:rPr>
        <w:t>全局资源统一虚拟化池化，CPU、内存、硬盘资源全局调度</w:t>
      </w:r>
    </w:p>
    <w:p w14:paraId="5A296936">
      <w:pPr>
        <w:widowControl/>
        <w:numPr>
          <w:ilvl w:val="0"/>
          <w:numId w:val="2"/>
        </w:numPr>
        <w:jc w:val="left"/>
      </w:pPr>
      <w:r>
        <w:rPr>
          <w:rFonts w:ascii="SourceHanSansCN-Regular" w:hAnsi="SourceHanSansCN-Regular" w:eastAsia="SourceHanSansCN-Regular" w:cs="SourceHanSansCN-Regular"/>
          <w:color w:val="000000"/>
          <w:kern w:val="0"/>
          <w:sz w:val="24"/>
          <w:lang w:bidi="ar"/>
        </w:rPr>
        <w:t>支持</w:t>
      </w:r>
      <w:r>
        <w:rPr>
          <w:rFonts w:ascii="SourceHanSansCN-Bold" w:hAnsi="SourceHanSansCN-Bold" w:eastAsia="SourceHanSansCN-Bold" w:cs="SourceHanSansCN-Bold"/>
          <w:b/>
          <w:bCs/>
          <w:color w:val="000000"/>
          <w:kern w:val="0"/>
          <w:sz w:val="24"/>
          <w:lang w:bidi="ar"/>
        </w:rPr>
        <w:t>整机集群HA高可用</w:t>
      </w:r>
      <w:r>
        <w:rPr>
          <w:rFonts w:ascii="SourceHanSansCN-Regular" w:hAnsi="SourceHanSansCN-Regular" w:eastAsia="SourceHanSansCN-Regular" w:cs="SourceHanSansCN-Regular"/>
          <w:color w:val="000000"/>
          <w:kern w:val="0"/>
          <w:sz w:val="24"/>
          <w:lang w:bidi="ar"/>
        </w:rPr>
        <w:t>，任意单节点整机故障，业务虚拟机自动漂移，业务不中断</w:t>
      </w:r>
    </w:p>
    <w:p w14:paraId="01B62E70">
      <w:pPr>
        <w:widowControl/>
        <w:numPr>
          <w:ilvl w:val="0"/>
          <w:numId w:val="2"/>
        </w:numPr>
        <w:jc w:val="left"/>
      </w:pPr>
      <w:r>
        <w:rPr>
          <w:rFonts w:ascii="SourceHanSansCN-Regular" w:hAnsi="SourceHanSansCN-Regular" w:eastAsia="SourceHanSansCN-Regular" w:cs="SourceHanSansCN-Regular"/>
          <w:color w:val="000000"/>
          <w:kern w:val="0"/>
          <w:sz w:val="24"/>
          <w:lang w:bidi="ar"/>
        </w:rPr>
        <w:t>支持硬盘故障自动重构，重构过程不影响业务运行</w:t>
      </w:r>
    </w:p>
    <w:p w14:paraId="45202ECB">
      <w:pPr>
        <w:widowControl/>
        <w:numPr>
          <w:ilvl w:val="0"/>
          <w:numId w:val="2"/>
        </w:numPr>
        <w:jc w:val="left"/>
      </w:pPr>
      <w:r>
        <w:rPr>
          <w:rFonts w:ascii="SourceHanSansCN-Regular" w:hAnsi="SourceHanSansCN-Regular" w:eastAsia="SourceHanSansCN-Regular" w:cs="SourceHanSansCN-Regular"/>
          <w:color w:val="000000"/>
          <w:kern w:val="0"/>
          <w:sz w:val="24"/>
          <w:lang w:bidi="ar"/>
        </w:rPr>
        <w:t>整体架构须满足信创技术要求，核心软硬件（国产CPU、国产操作系统、国产虚拟化软件）全栈自主可控，关键技术不受制于人</w:t>
      </w:r>
    </w:p>
    <w:p w14:paraId="7EAFECC0">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单节点详细硬件参数</w:t>
      </w:r>
    </w:p>
    <w:p w14:paraId="3E1A6BC6">
      <w:pPr>
        <w:widowControl/>
        <w:numPr>
          <w:ilvl w:val="0"/>
          <w:numId w:val="3"/>
        </w:numPr>
        <w:jc w:val="left"/>
      </w:pPr>
      <w:r>
        <w:rPr>
          <w:rFonts w:ascii="SourceHanSansCN-Medium" w:hAnsi="SourceHanSansCN-Medium" w:eastAsia="SourceHanSansCN-Medium" w:cs="SourceHanSansCN-Medium"/>
          <w:color w:val="000000"/>
          <w:kern w:val="0"/>
          <w:sz w:val="24"/>
          <w:lang w:bidi="ar"/>
        </w:rPr>
        <w:t>CPU</w:t>
      </w:r>
      <w:r>
        <w:rPr>
          <w:rFonts w:hint="eastAsia" w:ascii="SourceHanSansCN-Medium" w:hAnsi="SourceHanSansCN-Medium" w:eastAsia="SourceHanSansCN-Medium" w:cs="SourceHanSansCN-Medium"/>
          <w:color w:val="000000"/>
          <w:kern w:val="0"/>
          <w:sz w:val="24"/>
          <w:lang w:bidi="ar"/>
        </w:rPr>
        <w:t>：</w:t>
      </w:r>
    </w:p>
    <w:p w14:paraId="16A565AC">
      <w:pPr>
        <w:widowControl/>
        <w:ind w:firstLine="420"/>
        <w:jc w:val="left"/>
      </w:pPr>
      <w:r>
        <w:rPr>
          <w:rFonts w:ascii="SourceHanSansCN-Regular" w:hAnsi="SourceHanSansCN-Regular" w:eastAsia="SourceHanSansCN-Regular" w:cs="SourceHanSansCN-Regular"/>
          <w:color w:val="000000"/>
          <w:kern w:val="0"/>
          <w:sz w:val="24"/>
          <w:lang w:bidi="ar"/>
        </w:rPr>
        <w:t>每节点配置：</w:t>
      </w:r>
      <w:r>
        <w:rPr>
          <w:rFonts w:ascii="SourceHanSansCN-Bold" w:hAnsi="SourceHanSansCN-Bold" w:eastAsia="SourceHanSansCN-Bold" w:cs="SourceHanSansCN-Bold"/>
          <w:b/>
          <w:bCs/>
          <w:color w:val="000000"/>
          <w:kern w:val="0"/>
          <w:sz w:val="24"/>
          <w:lang w:bidi="ar"/>
        </w:rPr>
        <w:t>≥2颗</w:t>
      </w:r>
      <w:r>
        <w:rPr>
          <w:rFonts w:hint="eastAsia" w:ascii="SourceHanSansCN-Bold" w:hAnsi="SourceHanSansCN-Bold" w:eastAsia="SourceHanSansCN-Bold" w:cs="SourceHanSansCN-Bold"/>
          <w:b/>
          <w:bCs/>
          <w:color w:val="000000"/>
          <w:kern w:val="0"/>
          <w:sz w:val="24"/>
          <w:lang w:val="en-US" w:eastAsia="zh-CN" w:bidi="ar"/>
        </w:rPr>
        <w:t>国产</w:t>
      </w:r>
      <w:r>
        <w:rPr>
          <w:rFonts w:ascii="SourceHanSansCN-Bold" w:hAnsi="SourceHanSansCN-Bold" w:eastAsia="SourceHanSansCN-Bold" w:cs="SourceHanSansCN-Bold"/>
          <w:b/>
          <w:bCs/>
          <w:color w:val="000000"/>
          <w:kern w:val="0"/>
          <w:sz w:val="24"/>
          <w:lang w:bidi="ar"/>
        </w:rPr>
        <w:t>处理器</w:t>
      </w:r>
      <w:r>
        <w:rPr>
          <w:rFonts w:hint="eastAsia" w:ascii="SourceHanSansCN-Bold" w:hAnsi="SourceHanSansCN-Bold" w:eastAsia="SourceHanSansCN-Bold" w:cs="SourceHanSansCN-Bold"/>
          <w:b/>
          <w:bCs/>
          <w:color w:val="000000"/>
          <w:kern w:val="0"/>
          <w:sz w:val="24"/>
          <w:lang w:val="en-US" w:eastAsia="zh-CN" w:bidi="ar"/>
        </w:rPr>
        <w:t>如鲲鹏、海光、飞腾等</w:t>
      </w:r>
      <w:r>
        <w:rPr>
          <w:rFonts w:hint="eastAsia" w:ascii="SourceHanSansCN-Bold" w:hAnsi="SourceHanSansCN-Bold" w:eastAsia="SourceHanSansCN-Bold" w:cs="SourceHanSansCN-Bold"/>
          <w:b/>
          <w:bCs/>
          <w:color w:val="000000"/>
          <w:kern w:val="0"/>
          <w:sz w:val="24"/>
          <w:lang w:eastAsia="zh-CN" w:bidi="ar"/>
        </w:rPr>
        <w:t>，</w:t>
      </w:r>
      <w:r>
        <w:rPr>
          <w:rFonts w:ascii="SourceHanSansCN-Regular" w:hAnsi="SourceHanSansCN-Regular" w:eastAsia="SourceHanSansCN-Regular" w:cs="SourceHanSansCN-Regular"/>
          <w:color w:val="000000"/>
          <w:kern w:val="0"/>
          <w:sz w:val="24"/>
          <w:lang w:bidi="ar"/>
        </w:rPr>
        <w:t>单颗核心数≥16核，主频≥2.</w:t>
      </w:r>
      <w:r>
        <w:rPr>
          <w:rFonts w:hint="eastAsia" w:ascii="SourceHanSansCN-Regular" w:hAnsi="SourceHanSansCN-Regular" w:cs="SourceHanSansCN-Regular"/>
          <w:color w:val="000000"/>
          <w:kern w:val="0"/>
          <w:sz w:val="24"/>
          <w:lang w:bidi="ar"/>
        </w:rPr>
        <w:t>5</w:t>
      </w:r>
      <w:r>
        <w:rPr>
          <w:rFonts w:ascii="SourceHanSansCN-Regular" w:hAnsi="SourceHanSansCN-Regular" w:eastAsia="SourceHanSansCN-Regular" w:cs="SourceHanSansCN-Regular"/>
          <w:color w:val="000000"/>
          <w:kern w:val="0"/>
          <w:sz w:val="24"/>
          <w:lang w:bidi="ar"/>
        </w:rPr>
        <w:t>GHz，</w:t>
      </w:r>
      <w:r>
        <w:rPr>
          <w:rFonts w:hint="eastAsia" w:ascii="宋体" w:hAnsi="宋体" w:eastAsia="宋体" w:cs="宋体"/>
          <w:color w:val="000000"/>
          <w:kern w:val="0"/>
          <w:sz w:val="24"/>
          <w:lang w:bidi="ar"/>
        </w:rPr>
        <w:t>末级缓存容量</w:t>
      </w:r>
      <w:r>
        <w:rPr>
          <w:rFonts w:ascii="SourceHanSansCN-Regular" w:hAnsi="SourceHanSansCN-Regular" w:eastAsia="SourceHanSansCN-Regular" w:cs="SourceHanSansCN-Regular"/>
          <w:color w:val="000000"/>
          <w:kern w:val="0"/>
          <w:sz w:val="24"/>
          <w:lang w:bidi="ar"/>
        </w:rPr>
        <w:t>≥32MB支持超线程、节能模式、性能动态调度，满足数据库+影像并发运算</w:t>
      </w:r>
    </w:p>
    <w:p w14:paraId="623A29AF">
      <w:pPr>
        <w:widowControl/>
        <w:numPr>
          <w:ilvl w:val="0"/>
          <w:numId w:val="3"/>
        </w:numPr>
        <w:jc w:val="left"/>
      </w:pPr>
      <w:r>
        <w:rPr>
          <w:rFonts w:hint="eastAsia" w:ascii="SourceHanSansCN-Regular" w:hAnsi="SourceHanSansCN-Regular" w:eastAsia="SourceHanSansCN-Regular" w:cs="SourceHanSansCN-Regular"/>
          <w:color w:val="000000"/>
          <w:kern w:val="0"/>
          <w:sz w:val="24"/>
          <w:lang w:bidi="ar"/>
        </w:rPr>
        <w:t>内存：</w:t>
      </w:r>
    </w:p>
    <w:p w14:paraId="6C5E133C">
      <w:pPr>
        <w:widowControl/>
        <w:ind w:firstLine="420"/>
        <w:jc w:val="left"/>
        <w:rPr>
          <w:rFonts w:hint="eastAsia" w:eastAsia="宋体"/>
          <w:lang w:eastAsia="zh-CN"/>
        </w:rPr>
      </w:pPr>
      <w:r>
        <w:rPr>
          <w:rFonts w:ascii="SourceHanSansCN-Regular" w:hAnsi="SourceHanSansCN-Regular" w:eastAsia="SourceHanSansCN-Regular" w:cs="SourceHanSansCN-Regular"/>
          <w:color w:val="000000"/>
          <w:kern w:val="0"/>
          <w:sz w:val="24"/>
          <w:lang w:bidi="ar"/>
        </w:rPr>
        <w:t>单节点内存≥</w:t>
      </w:r>
      <w:r>
        <w:rPr>
          <w:rFonts w:hint="eastAsia" w:ascii="SourceHanSansCN-Regular" w:hAnsi="SourceHanSansCN-Regular" w:eastAsia="SourceHanSansCN-Regular" w:cs="SourceHanSansCN-Regular"/>
          <w:color w:val="000000" w:themeColor="text1"/>
          <w:kern w:val="0"/>
          <w:sz w:val="24"/>
          <w:lang w:val="en-US" w:eastAsia="zh-CN" w:bidi="ar"/>
          <w14:textFill>
            <w14:solidFill>
              <w14:schemeClr w14:val="tx1"/>
            </w14:solidFill>
          </w14:textFill>
        </w:rPr>
        <w:t>256</w:t>
      </w:r>
      <w:r>
        <w:rPr>
          <w:rFonts w:ascii="SourceHanSansCN-Regular" w:hAnsi="SourceHanSansCN-Regular" w:eastAsia="SourceHanSansCN-Regular" w:cs="SourceHanSansCN-Regular"/>
          <w:color w:val="000000"/>
          <w:kern w:val="0"/>
          <w:sz w:val="24"/>
          <w:lang w:bidi="ar"/>
        </w:rPr>
        <w:t>GB DDR4/DDR5 ECC企业级内存</w:t>
      </w:r>
      <w:r>
        <w:rPr>
          <w:rFonts w:hint="eastAsia" w:ascii="SourceHanSansCN-Regular" w:hAnsi="SourceHanSansCN-Regular" w:eastAsia="SourceHanSansCN-Regular" w:cs="SourceHanSansCN-Regular"/>
          <w:color w:val="000000"/>
          <w:kern w:val="0"/>
          <w:sz w:val="24"/>
          <w:lang w:bidi="ar"/>
        </w:rPr>
        <w:t>，</w:t>
      </w:r>
      <w:r>
        <w:rPr>
          <w:rFonts w:ascii="SourceHanSansCN-Regular" w:hAnsi="SourceHanSansCN-Regular" w:eastAsia="SourceHanSansCN-Regular" w:cs="SourceHanSansCN-Regular"/>
          <w:color w:val="000000"/>
          <w:kern w:val="0"/>
          <w:sz w:val="24"/>
          <w:lang w:bidi="ar"/>
        </w:rPr>
        <w:t>支持内存热备用、内存错误自动纠错，满足医疗数据库长期稳定运行</w:t>
      </w:r>
    </w:p>
    <w:p w14:paraId="7014DDE1">
      <w:pPr>
        <w:widowControl/>
        <w:numPr>
          <w:ilvl w:val="0"/>
          <w:numId w:val="3"/>
        </w:numPr>
        <w:jc w:val="left"/>
      </w:pPr>
      <w:r>
        <w:rPr>
          <w:rFonts w:ascii="SourceHanSansCN-Regular" w:hAnsi="SourceHanSansCN-Regular" w:eastAsia="SourceHanSansCN-Regular" w:cs="SourceHanSansCN-Regular"/>
          <w:color w:val="000000"/>
          <w:kern w:val="0"/>
          <w:sz w:val="24"/>
          <w:lang w:bidi="ar"/>
        </w:rPr>
        <w:t>系统盘</w:t>
      </w:r>
      <w:r>
        <w:rPr>
          <w:rFonts w:hint="eastAsia" w:ascii="SourceHanSansCN-Regular" w:hAnsi="SourceHanSansCN-Regular" w:eastAsia="SourceHanSansCN-Regular" w:cs="SourceHanSansCN-Regular"/>
          <w:color w:val="000000"/>
          <w:kern w:val="0"/>
          <w:sz w:val="24"/>
          <w:lang w:bidi="ar"/>
        </w:rPr>
        <w:t>：</w:t>
      </w:r>
    </w:p>
    <w:p w14:paraId="6B90EEF5">
      <w:pPr>
        <w:widowControl/>
        <w:ind w:firstLine="420"/>
        <w:jc w:val="left"/>
      </w:pPr>
      <w:r>
        <w:rPr>
          <w:rFonts w:ascii="SourceHanSansCN-Regular" w:hAnsi="SourceHanSansCN-Regular" w:eastAsia="SourceHanSansCN-Regular" w:cs="SourceHanSansCN-Regular"/>
          <w:color w:val="000000"/>
          <w:kern w:val="0"/>
          <w:sz w:val="24"/>
          <w:lang w:bidi="ar"/>
        </w:rPr>
        <w:t>每节点配置：</w:t>
      </w:r>
      <w:r>
        <w:rPr>
          <w:rFonts w:ascii="SourceHanSansCN-Bold" w:hAnsi="SourceHanSansCN-Bold" w:eastAsia="SourceHanSansCN-Bold" w:cs="SourceHanSansCN-Bold"/>
          <w:b/>
          <w:bCs/>
          <w:color w:val="000000"/>
          <w:kern w:val="0"/>
          <w:sz w:val="24"/>
          <w:lang w:bidi="ar"/>
        </w:rPr>
        <w:t>2块480GB SSD企业级系统盘</w:t>
      </w:r>
      <w:r>
        <w:rPr>
          <w:rFonts w:hint="eastAsia" w:ascii="SourceHanSansCN-Bold" w:hAnsi="SourceHanSansCN-Bold" w:eastAsia="SourceHanSansCN-Bold" w:cs="SourceHanSansCN-Bold"/>
          <w:b/>
          <w:bCs/>
          <w:color w:val="000000"/>
          <w:kern w:val="0"/>
          <w:sz w:val="24"/>
          <w:lang w:bidi="ar"/>
        </w:rPr>
        <w:t>；</w:t>
      </w:r>
      <w:r>
        <w:rPr>
          <w:rFonts w:ascii="SourceHanSansCN-Regular" w:hAnsi="SourceHanSansCN-Regular" w:eastAsia="SourceHanSansCN-Regular" w:cs="SourceHanSansCN-Regular"/>
          <w:color w:val="000000"/>
          <w:kern w:val="0"/>
          <w:sz w:val="24"/>
          <w:lang w:bidi="ar"/>
        </w:rPr>
        <w:t>保障虚拟化平台系统永不因为系统盘损坏宕机</w:t>
      </w:r>
    </w:p>
    <w:p w14:paraId="322C0E56">
      <w:pPr>
        <w:widowControl/>
        <w:numPr>
          <w:ilvl w:val="0"/>
          <w:numId w:val="3"/>
        </w:numPr>
        <w:jc w:val="left"/>
      </w:pPr>
      <w:r>
        <w:rPr>
          <w:rFonts w:ascii="SourceHanSansCN-Regular" w:hAnsi="SourceHanSansCN-Regular" w:eastAsia="SourceHanSansCN-Regular" w:cs="SourceHanSansCN-Regular"/>
          <w:color w:val="000000"/>
          <w:kern w:val="0"/>
          <w:sz w:val="24"/>
          <w:lang w:bidi="ar"/>
        </w:rPr>
        <w:t>缓存固态盘</w:t>
      </w:r>
      <w:r>
        <w:rPr>
          <w:rFonts w:hint="eastAsia" w:ascii="SourceHanSansCN-Regular" w:hAnsi="SourceHanSansCN-Regular" w:eastAsia="SourceHanSansCN-Regular" w:cs="SourceHanSansCN-Regular"/>
          <w:color w:val="000000"/>
          <w:kern w:val="0"/>
          <w:sz w:val="24"/>
          <w:lang w:bidi="ar"/>
        </w:rPr>
        <w:t>：</w:t>
      </w:r>
    </w:p>
    <w:p w14:paraId="5F2ED148">
      <w:pPr>
        <w:widowControl/>
        <w:ind w:firstLine="420"/>
        <w:jc w:val="left"/>
      </w:pPr>
      <w:r>
        <w:rPr>
          <w:rFonts w:ascii="SourceHanSansCN-Regular" w:hAnsi="SourceHanSansCN-Regular" w:eastAsia="SourceHanSansCN-Regular" w:cs="SourceHanSansCN-Regular"/>
          <w:color w:val="000000"/>
          <w:kern w:val="0"/>
          <w:sz w:val="24"/>
          <w:lang w:bidi="ar"/>
        </w:rPr>
        <w:t>每节点配置：</w:t>
      </w:r>
      <w:r>
        <w:rPr>
          <w:rFonts w:ascii="SourceHanSansCN-Bold" w:hAnsi="SourceHanSansCN-Bold" w:eastAsia="SourceHanSansCN-Bold" w:cs="SourceHanSansCN-Bold"/>
          <w:b/>
          <w:bCs/>
          <w:color w:val="000000"/>
          <w:kern w:val="0"/>
          <w:sz w:val="24"/>
          <w:lang w:bidi="ar"/>
        </w:rPr>
        <w:t>≥2块3.84TB SSD企业级高速固态盘</w:t>
      </w:r>
    </w:p>
    <w:p w14:paraId="221FA168">
      <w:pPr>
        <w:widowControl/>
        <w:ind w:firstLine="420"/>
        <w:jc w:val="left"/>
      </w:pPr>
      <w:r>
        <w:rPr>
          <w:rFonts w:ascii="SourceHanSansCN-Regular" w:hAnsi="SourceHanSansCN-Regular" w:eastAsia="SourceHanSansCN-Regular" w:cs="SourceHanSansCN-Regular"/>
          <w:color w:val="000000"/>
          <w:kern w:val="0"/>
          <w:sz w:val="24"/>
          <w:lang w:bidi="ar"/>
        </w:rPr>
        <w:t>用途：作为全局读写缓存池，加速数字病理超大切片读取、数据库读写</w:t>
      </w:r>
    </w:p>
    <w:p w14:paraId="327FDBFD">
      <w:pPr>
        <w:widowControl/>
        <w:ind w:firstLine="420"/>
        <w:jc w:val="left"/>
      </w:pPr>
      <w:r>
        <w:rPr>
          <w:rFonts w:ascii="SourceHanSansCN-Regular" w:hAnsi="SourceHanSansCN-Regular" w:eastAsia="SourceHanSansCN-Regular" w:cs="SourceHanSansCN-Regular"/>
          <w:color w:val="000000"/>
          <w:kern w:val="0"/>
          <w:sz w:val="24"/>
          <w:lang w:bidi="ar"/>
        </w:rPr>
        <w:t>要求：支持掉电保护、企业级写入寿命，满足高频医疗访问场景</w:t>
      </w:r>
    </w:p>
    <w:p w14:paraId="6E273E24">
      <w:pPr>
        <w:widowControl/>
        <w:numPr>
          <w:ilvl w:val="0"/>
          <w:numId w:val="3"/>
        </w:numPr>
        <w:jc w:val="left"/>
      </w:pPr>
      <w:r>
        <w:rPr>
          <w:rFonts w:ascii="SourceHanSansCN-Regular" w:hAnsi="SourceHanSansCN-Regular" w:eastAsia="SourceHanSansCN-Regular" w:cs="SourceHanSansCN-Regular"/>
          <w:color w:val="000000"/>
          <w:kern w:val="0"/>
          <w:sz w:val="24"/>
          <w:lang w:bidi="ar"/>
        </w:rPr>
        <w:t>大容量存储硬盘</w:t>
      </w:r>
      <w:r>
        <w:rPr>
          <w:rFonts w:hint="eastAsia" w:ascii="SourceHanSansCN-Regular" w:hAnsi="SourceHanSansCN-Regular" w:eastAsia="SourceHanSansCN-Regular" w:cs="SourceHanSansCN-Regular"/>
          <w:color w:val="000000"/>
          <w:kern w:val="0"/>
          <w:sz w:val="24"/>
          <w:lang w:bidi="ar"/>
        </w:rPr>
        <w:t>：</w:t>
      </w:r>
    </w:p>
    <w:p w14:paraId="7287E4FC">
      <w:pPr>
        <w:widowControl/>
        <w:ind w:firstLine="420"/>
        <w:jc w:val="left"/>
        <w:rPr>
          <w:rFonts w:hint="eastAsia" w:eastAsia="宋体"/>
          <w:color w:val="FF0000"/>
          <w:lang w:eastAsia="zh-CN"/>
        </w:rPr>
      </w:pPr>
      <w:r>
        <w:rPr>
          <w:rFonts w:ascii="SourceHanSansCN-Regular" w:hAnsi="SourceHanSansCN-Regular" w:eastAsia="SourceHanSansCN-Regular" w:cs="SourceHanSansCN-Regular"/>
          <w:color w:val="000000"/>
          <w:kern w:val="0"/>
          <w:sz w:val="24"/>
          <w:lang w:bidi="ar"/>
        </w:rPr>
        <w:t>每节点配置：</w:t>
      </w:r>
      <w:r>
        <w:rPr>
          <w:rFonts w:ascii="SourceHanSansCN-Bold" w:hAnsi="SourceHanSansCN-Bold" w:eastAsia="SourceHanSansCN-Bold" w:cs="SourceHanSansCN-Bold"/>
          <w:b/>
          <w:bCs/>
          <w:color w:val="000000"/>
          <w:kern w:val="0"/>
          <w:sz w:val="24"/>
          <w:lang w:bidi="ar"/>
        </w:rPr>
        <w:t>≥</w:t>
      </w:r>
      <w:r>
        <w:rPr>
          <w:rFonts w:hint="eastAsia" w:ascii="SourceHanSansCN-Bold" w:hAnsi="SourceHanSansCN-Bold" w:eastAsia="SourceHanSansCN-Bold" w:cs="SourceHanSansCN-Bold"/>
          <w:b/>
          <w:bCs/>
          <w:color w:val="000000"/>
          <w:kern w:val="0"/>
          <w:sz w:val="24"/>
          <w:lang w:bidi="ar"/>
        </w:rPr>
        <w:t>6</w:t>
      </w:r>
      <w:r>
        <w:rPr>
          <w:rFonts w:ascii="SourceHanSansCN-Bold" w:hAnsi="SourceHanSansCN-Bold" w:eastAsia="SourceHanSansCN-Bold" w:cs="SourceHanSansCN-Bold"/>
          <w:b/>
          <w:bCs/>
          <w:color w:val="000000"/>
          <w:kern w:val="0"/>
          <w:sz w:val="24"/>
          <w:lang w:bidi="ar"/>
        </w:rPr>
        <w:t>块12TB 7200转 SAS 企业级硬盘</w:t>
      </w:r>
    </w:p>
    <w:p w14:paraId="626885C4">
      <w:pPr>
        <w:widowControl/>
        <w:ind w:firstLine="420"/>
        <w:jc w:val="left"/>
      </w:pPr>
      <w:r>
        <w:rPr>
          <w:rFonts w:ascii="SourceHanSansCN-Regular" w:hAnsi="SourceHanSansCN-Regular" w:eastAsia="SourceHanSansCN-Regular" w:cs="SourceHanSansCN-Regular"/>
          <w:color w:val="000000"/>
          <w:kern w:val="0"/>
          <w:sz w:val="24"/>
          <w:lang w:bidi="ar"/>
        </w:rPr>
        <w:t>全局组成分布式存储资源池，用于长期海量病理切片归档存储</w:t>
      </w:r>
      <w:r>
        <w:rPr>
          <w:rFonts w:hint="eastAsia" w:ascii="SourceHanSansCN-Regular" w:hAnsi="SourceHanSansCN-Regular" w:eastAsia="SourceHanSansCN-Regular" w:cs="SourceHanSansCN-Regular"/>
          <w:color w:val="000000"/>
          <w:kern w:val="0"/>
          <w:sz w:val="24"/>
          <w:lang w:bidi="ar"/>
        </w:rPr>
        <w:t>。</w:t>
      </w:r>
      <w:r>
        <w:rPr>
          <w:rFonts w:ascii="SourceHanSansCN-Bold" w:hAnsi="SourceHanSansCN-Bold" w:eastAsia="SourceHanSansCN-Bold" w:cs="SourceHanSansCN-Bold"/>
          <w:b/>
          <w:bCs/>
          <w:color w:val="000000"/>
          <w:kern w:val="0"/>
          <w:sz w:val="24"/>
          <w:lang w:bidi="ar"/>
        </w:rPr>
        <w:t>严禁监控盘、桌面盘、家用盘</w:t>
      </w:r>
      <w:r>
        <w:rPr>
          <w:rFonts w:ascii="SourceHanSansCN-Regular" w:hAnsi="SourceHanSansCN-Regular" w:eastAsia="SourceHanSansCN-Regular" w:cs="SourceHanSansCN-Regular"/>
          <w:color w:val="000000"/>
          <w:kern w:val="0"/>
          <w:sz w:val="24"/>
          <w:lang w:bidi="ar"/>
        </w:rPr>
        <w:t>，必须原厂企业级盘，提供盘体质保</w:t>
      </w:r>
    </w:p>
    <w:p w14:paraId="5EE09189">
      <w:pPr>
        <w:widowControl/>
        <w:numPr>
          <w:ilvl w:val="0"/>
          <w:numId w:val="3"/>
        </w:numPr>
        <w:jc w:val="left"/>
        <w:rPr>
          <w:rFonts w:ascii="SourceHanSansCN-Regular" w:hAnsi="SourceHanSansCN-Regular" w:eastAsia="SourceHanSansCN-Regular" w:cs="SourceHanSansCN-Regular"/>
          <w:color w:val="000000"/>
          <w:kern w:val="0"/>
          <w:sz w:val="24"/>
          <w:lang w:bidi="ar"/>
        </w:rPr>
      </w:pPr>
      <w:r>
        <w:rPr>
          <w:rFonts w:ascii="SourceHanSansCN-Regular" w:hAnsi="SourceHanSansCN-Regular" w:eastAsia="SourceHanSansCN-Regular" w:cs="SourceHanSansCN-Regular"/>
          <w:color w:val="000000"/>
          <w:kern w:val="0"/>
          <w:sz w:val="24"/>
          <w:lang w:bidi="ar"/>
        </w:rPr>
        <w:t>电源风扇</w:t>
      </w:r>
      <w:r>
        <w:rPr>
          <w:rFonts w:hint="eastAsia" w:ascii="SourceHanSansCN-Regular" w:hAnsi="SourceHanSansCN-Regular" w:eastAsia="SourceHanSansCN-Regular" w:cs="SourceHanSansCN-Regular"/>
          <w:color w:val="000000"/>
          <w:kern w:val="0"/>
          <w:sz w:val="24"/>
          <w:lang w:bidi="ar"/>
        </w:rPr>
        <w:t>：</w:t>
      </w:r>
    </w:p>
    <w:p w14:paraId="683C0CBC">
      <w:pPr>
        <w:widowControl/>
        <w:ind w:firstLine="420"/>
        <w:jc w:val="left"/>
        <w:rPr>
          <w:rFonts w:ascii="SourceHanSansCN-Regular" w:hAnsi="SourceHanSansCN-Regular" w:eastAsia="SourceHanSansCN-Regular" w:cs="SourceHanSansCN-Regular"/>
          <w:color w:val="000000"/>
          <w:kern w:val="0"/>
          <w:sz w:val="24"/>
          <w:lang w:bidi="ar"/>
        </w:rPr>
      </w:pPr>
      <w:r>
        <w:rPr>
          <w:rFonts w:ascii="SourceHanSansCN-Regular" w:hAnsi="SourceHanSansCN-Regular" w:eastAsia="SourceHanSansCN-Regular" w:cs="SourceHanSansCN-Regular"/>
          <w:color w:val="000000"/>
          <w:kern w:val="0"/>
          <w:sz w:val="24"/>
          <w:lang w:bidi="ar"/>
        </w:rPr>
        <w:t>每节点</w:t>
      </w:r>
      <w:r>
        <w:rPr>
          <w:rFonts w:ascii="SourceHanSansCN-Bold" w:hAnsi="SourceHanSansCN-Bold" w:eastAsia="SourceHanSansCN-Bold" w:cs="SourceHanSansCN-Bold"/>
          <w:b/>
          <w:bCs/>
          <w:color w:val="000000"/>
          <w:kern w:val="0"/>
          <w:sz w:val="24"/>
          <w:lang w:bidi="ar"/>
        </w:rPr>
        <w:t>双冗余热插拔电源、双冗余热插拔风扇</w:t>
      </w:r>
      <w:r>
        <w:rPr>
          <w:rFonts w:hint="eastAsia" w:ascii="SourceHanSansCN-Bold" w:hAnsi="SourceHanSansCN-Bold" w:eastAsia="SourceHanSansCN-Bold" w:cs="SourceHanSansCN-Bold"/>
          <w:b/>
          <w:bCs/>
          <w:color w:val="000000"/>
          <w:kern w:val="0"/>
          <w:sz w:val="24"/>
          <w:lang w:bidi="ar"/>
        </w:rPr>
        <w:t>；</w:t>
      </w:r>
      <w:r>
        <w:rPr>
          <w:rFonts w:ascii="SourceHanSansCN-Regular" w:hAnsi="SourceHanSansCN-Regular" w:eastAsia="SourceHanSansCN-Regular" w:cs="SourceHanSansCN-Regular"/>
          <w:color w:val="000000"/>
          <w:kern w:val="0"/>
          <w:sz w:val="24"/>
          <w:lang w:bidi="ar"/>
        </w:rPr>
        <w:t>单电源、单风扇损坏不宕机、不影响业务</w:t>
      </w:r>
    </w:p>
    <w:p w14:paraId="3CD5F6D5">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网络硬件参数</w:t>
      </w:r>
    </w:p>
    <w:p w14:paraId="3148DA18">
      <w:pPr>
        <w:widowControl/>
        <w:numPr>
          <w:ilvl w:val="0"/>
          <w:numId w:val="4"/>
        </w:numPr>
        <w:ind w:firstLine="0"/>
        <w:jc w:val="left"/>
        <w:rPr>
          <w:sz w:val="24"/>
        </w:rPr>
      </w:pPr>
      <w:r>
        <w:rPr>
          <w:rFonts w:ascii="SourceHanSansCN-Medium" w:hAnsi="SourceHanSansCN-Medium" w:eastAsia="SourceHanSansCN-Medium" w:cs="SourceHanSansCN-Medium"/>
          <w:color w:val="000000"/>
          <w:kern w:val="0"/>
          <w:sz w:val="24"/>
          <w:lang w:bidi="ar"/>
        </w:rPr>
        <w:t>集群内部互联（存储心跳+数据同步）</w:t>
      </w:r>
    </w:p>
    <w:p w14:paraId="52E38F94">
      <w:pPr>
        <w:widowControl/>
        <w:numPr>
          <w:ilvl w:val="0"/>
          <w:numId w:val="5"/>
        </w:numPr>
        <w:jc w:val="left"/>
      </w:pPr>
      <w:r>
        <w:rPr>
          <w:rFonts w:ascii="SourceHanSansCN-Regular" w:hAnsi="SourceHanSansCN-Regular" w:eastAsia="SourceHanSansCN-Regular" w:cs="SourceHanSansCN-Regular"/>
          <w:color w:val="000000"/>
          <w:kern w:val="0"/>
          <w:sz w:val="24"/>
          <w:lang w:bidi="ar"/>
        </w:rPr>
        <w:t>每节点配置：</w:t>
      </w:r>
      <w:r>
        <w:rPr>
          <w:rFonts w:ascii="SourceHanSansCN-Bold" w:hAnsi="SourceHanSansCN-Bold" w:eastAsia="SourceHanSansCN-Bold" w:cs="SourceHanSansCN-Bold"/>
          <w:b/>
          <w:bCs/>
          <w:color w:val="000000"/>
          <w:kern w:val="0"/>
          <w:sz w:val="24"/>
          <w:lang w:bidi="ar"/>
        </w:rPr>
        <w:t>双口25G SFP28高速光纤网卡</w:t>
      </w:r>
    </w:p>
    <w:p w14:paraId="7F07F7D4">
      <w:pPr>
        <w:widowControl/>
        <w:numPr>
          <w:ilvl w:val="0"/>
          <w:numId w:val="5"/>
        </w:numPr>
        <w:jc w:val="left"/>
      </w:pPr>
      <w:r>
        <w:rPr>
          <w:rFonts w:ascii="SourceHanSansCN-Regular" w:hAnsi="SourceHanSansCN-Regular" w:eastAsia="SourceHanSansCN-Regular" w:cs="SourceHanSansCN-Regular"/>
          <w:color w:val="000000"/>
          <w:kern w:val="0"/>
          <w:sz w:val="24"/>
          <w:lang w:bidi="ar"/>
        </w:rPr>
        <w:t>集群内部数据同步、切片数据读写走25G高速私网，杜绝WSI阅片卡顿</w:t>
      </w:r>
    </w:p>
    <w:p w14:paraId="430495EB">
      <w:pPr>
        <w:widowControl/>
        <w:numPr>
          <w:ilvl w:val="0"/>
          <w:numId w:val="4"/>
        </w:numPr>
        <w:ind w:firstLine="0"/>
        <w:jc w:val="left"/>
        <w:rPr>
          <w:rFonts w:hint="eastAsia" w:ascii="SourceHanSansCN-Medium" w:hAnsi="SourceHanSansCN-Medium" w:eastAsia="SourceHanSansCN-Medium" w:cs="SourceHanSansCN-Medium"/>
          <w:color w:val="000000" w:themeColor="text1"/>
          <w:kern w:val="0"/>
          <w:sz w:val="24"/>
          <w:lang w:bidi="ar"/>
          <w14:textFill>
            <w14:solidFill>
              <w14:schemeClr w14:val="tx1"/>
            </w14:solidFill>
          </w14:textFill>
        </w:rPr>
      </w:pPr>
      <w:r>
        <w:rPr>
          <w:rFonts w:hint="eastAsia" w:ascii="SourceHanSansCN-Medium" w:hAnsi="SourceHanSansCN-Medium" w:eastAsia="SourceHanSansCN-Medium" w:cs="SourceHanSansCN-Medium"/>
          <w:color w:val="000000" w:themeColor="text1"/>
          <w:kern w:val="0"/>
          <w:sz w:val="24"/>
          <w:lang w:bidi="ar"/>
          <w14:textFill>
            <w14:solidFill>
              <w14:schemeClr w14:val="tx1"/>
            </w14:solidFill>
          </w14:textFill>
        </w:rPr>
        <w:t>超融合集群交换机</w:t>
      </w:r>
      <w:bookmarkStart w:id="0" w:name="_GoBack"/>
      <w:bookmarkEnd w:id="0"/>
    </w:p>
    <w:p w14:paraId="07E3984B">
      <w:pPr>
        <w:widowControl/>
        <w:numPr>
          <w:ilvl w:val="0"/>
          <w:numId w:val="6"/>
        </w:numPr>
        <w:jc w:val="left"/>
        <w:rPr>
          <w:rFonts w:hint="eastAsia" w:ascii="SourceHanSansCN-Regular" w:hAnsi="SourceHanSansCN-Regular" w:eastAsia="SourceHanSansCN-Regular" w:cs="SourceHanSansCN-Regular"/>
          <w:color w:val="000000" w:themeColor="text1"/>
          <w:kern w:val="0"/>
          <w:sz w:val="24"/>
          <w:lang w:bidi="ar"/>
          <w14:textFill>
            <w14:solidFill>
              <w14:schemeClr w14:val="tx1"/>
            </w14:solidFill>
          </w14:textFill>
        </w:rPr>
      </w:pPr>
      <w:r>
        <w:rPr>
          <w:rFonts w:hint="eastAsia" w:ascii="SourceHanSansCN-Regular" w:hAnsi="SourceHanSansCN-Regular" w:eastAsia="SourceHanSansCN-Regular" w:cs="SourceHanSansCN-Regular"/>
          <w:color w:val="000000" w:themeColor="text1"/>
          <w:kern w:val="0"/>
          <w:sz w:val="24"/>
          <w:lang w:bidi="ar"/>
          <w14:textFill>
            <w14:solidFill>
              <w14:schemeClr w14:val="tx1"/>
            </w14:solidFill>
          </w14:textFill>
        </w:rPr>
        <w:t>交换容量≥2Tbps，包转发率≥700Mpps，交换容量及包转发率以数字最小的为准</w:t>
      </w:r>
    </w:p>
    <w:p w14:paraId="34B91D16">
      <w:pPr>
        <w:widowControl/>
        <w:numPr>
          <w:ilvl w:val="0"/>
          <w:numId w:val="6"/>
        </w:numPr>
        <w:jc w:val="left"/>
        <w:rPr>
          <w:rFonts w:hint="eastAsia" w:ascii="SourceHanSansCN-Regular" w:hAnsi="SourceHanSansCN-Regular" w:eastAsia="SourceHanSansCN-Regular" w:cs="SourceHanSansCN-Regular"/>
          <w:color w:val="000000" w:themeColor="text1"/>
          <w:kern w:val="0"/>
          <w:sz w:val="24"/>
          <w:lang w:bidi="ar"/>
          <w14:textFill>
            <w14:solidFill>
              <w14:schemeClr w14:val="tx1"/>
            </w14:solidFill>
          </w14:textFill>
        </w:rPr>
      </w:pPr>
      <w:r>
        <w:rPr>
          <w:rFonts w:hint="eastAsia" w:ascii="SourceHanSansCN-Regular" w:hAnsi="SourceHanSansCN-Regular" w:eastAsia="SourceHanSansCN-Regular" w:cs="SourceHanSansCN-Regular"/>
          <w:color w:val="000000" w:themeColor="text1"/>
          <w:kern w:val="0"/>
          <w:sz w:val="24"/>
          <w:lang w:bidi="ar"/>
          <w14:textFill>
            <w14:solidFill>
              <w14:schemeClr w14:val="tx1"/>
            </w14:solidFill>
          </w14:textFill>
        </w:rPr>
        <w:t>万兆光口≥12个；千兆电口≥12个</w:t>
      </w:r>
    </w:p>
    <w:p w14:paraId="6FBB82C3">
      <w:pPr>
        <w:widowControl/>
        <w:numPr>
          <w:ilvl w:val="0"/>
          <w:numId w:val="4"/>
        </w:numPr>
        <w:ind w:firstLine="0"/>
        <w:jc w:val="left"/>
        <w:rPr>
          <w:rFonts w:ascii="SourceHanSansCN-Medium" w:hAnsi="SourceHanSansCN-Medium" w:eastAsia="SourceHanSansCN-Medium" w:cs="SourceHanSansCN-Medium"/>
          <w:color w:val="000000"/>
          <w:kern w:val="0"/>
          <w:sz w:val="24"/>
          <w:lang w:bidi="ar"/>
        </w:rPr>
      </w:pPr>
      <w:r>
        <w:rPr>
          <w:rFonts w:ascii="SourceHanSansCN-Medium" w:hAnsi="SourceHanSansCN-Medium" w:eastAsia="SourceHanSansCN-Medium" w:cs="SourceHanSansCN-Medium"/>
          <w:color w:val="000000"/>
          <w:kern w:val="0"/>
          <w:sz w:val="24"/>
          <w:lang w:bidi="ar"/>
        </w:rPr>
        <w:t>业务外网口（对接医院核心交换机）</w:t>
      </w:r>
    </w:p>
    <w:p w14:paraId="079471B2">
      <w:pPr>
        <w:widowControl/>
        <w:numPr>
          <w:ilvl w:val="0"/>
          <w:numId w:val="6"/>
        </w:numPr>
        <w:jc w:val="left"/>
      </w:pPr>
      <w:r>
        <w:rPr>
          <w:rFonts w:ascii="SourceHanSansCN-Regular" w:hAnsi="SourceHanSansCN-Regular" w:eastAsia="SourceHanSansCN-Regular" w:cs="SourceHanSansCN-Regular"/>
          <w:color w:val="000000"/>
          <w:kern w:val="0"/>
          <w:sz w:val="24"/>
          <w:lang w:bidi="ar"/>
        </w:rPr>
        <w:t>每节点配置：</w:t>
      </w:r>
      <w:r>
        <w:rPr>
          <w:rFonts w:ascii="SourceHanSansCN-Bold" w:hAnsi="SourceHanSansCN-Bold" w:eastAsia="SourceHanSansCN-Bold" w:cs="SourceHanSansCN-Bold"/>
          <w:b/>
          <w:bCs/>
          <w:color w:val="000000"/>
          <w:kern w:val="0"/>
          <w:sz w:val="24"/>
          <w:lang w:bidi="ar"/>
        </w:rPr>
        <w:t>≥4口千兆电口+双口10G万兆光口</w:t>
      </w:r>
    </w:p>
    <w:p w14:paraId="64DA8112">
      <w:pPr>
        <w:widowControl/>
        <w:numPr>
          <w:ilvl w:val="0"/>
          <w:numId w:val="6"/>
        </w:numPr>
        <w:jc w:val="left"/>
      </w:pPr>
      <w:r>
        <w:rPr>
          <w:rFonts w:ascii="SourceHanSansCN-Regular" w:hAnsi="SourceHanSansCN-Regular" w:eastAsia="SourceHanSansCN-Regular" w:cs="SourceHanSansCN-Regular"/>
          <w:color w:val="000000"/>
          <w:kern w:val="0"/>
          <w:sz w:val="24"/>
          <w:lang w:bidi="ar"/>
        </w:rPr>
        <w:t>满足多科室多人同时阅片并发访问</w:t>
      </w:r>
    </w:p>
    <w:p w14:paraId="2D966D5A">
      <w:pPr>
        <w:widowControl/>
        <w:numPr>
          <w:ilvl w:val="0"/>
          <w:numId w:val="4"/>
        </w:numPr>
        <w:ind w:firstLine="0"/>
        <w:jc w:val="left"/>
        <w:rPr>
          <w:rFonts w:ascii="SourceHanSansCN-Medium" w:hAnsi="SourceHanSansCN-Medium" w:eastAsia="SourceHanSansCN-Medium" w:cs="SourceHanSansCN-Medium"/>
          <w:color w:val="000000"/>
          <w:kern w:val="0"/>
          <w:sz w:val="24"/>
          <w:lang w:bidi="ar"/>
        </w:rPr>
      </w:pPr>
      <w:r>
        <w:rPr>
          <w:rFonts w:ascii="SourceHanSansCN-Medium" w:hAnsi="SourceHanSansCN-Medium" w:eastAsia="SourceHanSansCN-Medium" w:cs="SourceHanSansCN-Medium"/>
          <w:color w:val="000000"/>
          <w:kern w:val="0"/>
          <w:sz w:val="24"/>
          <w:lang w:bidi="ar"/>
        </w:rPr>
        <w:t>网络高可用要求</w:t>
      </w:r>
    </w:p>
    <w:p w14:paraId="7EEDD90D">
      <w:pPr>
        <w:widowControl/>
        <w:numPr>
          <w:ilvl w:val="0"/>
          <w:numId w:val="7"/>
        </w:numPr>
        <w:jc w:val="left"/>
        <w:rPr>
          <w:sz w:val="24"/>
        </w:rPr>
      </w:pPr>
      <w:r>
        <w:rPr>
          <w:rFonts w:ascii="SourceHanSansCN-Regular" w:hAnsi="SourceHanSansCN-Regular" w:eastAsia="SourceHanSansCN-Regular" w:cs="SourceHanSansCN-Regular"/>
          <w:color w:val="000000"/>
          <w:kern w:val="0"/>
          <w:sz w:val="24"/>
          <w:lang w:bidi="ar"/>
        </w:rPr>
        <w:t>支持链路聚合、故障自动切换、私网隔离、业务网与存储网分离</w:t>
      </w:r>
    </w:p>
    <w:p w14:paraId="05ACD33E">
      <w:pPr>
        <w:widowControl/>
        <w:numPr>
          <w:ilvl w:val="0"/>
          <w:numId w:val="7"/>
        </w:numPr>
        <w:jc w:val="left"/>
        <w:rPr>
          <w:sz w:val="24"/>
        </w:rPr>
      </w:pPr>
      <w:r>
        <w:rPr>
          <w:rFonts w:ascii="SourceHanSansCN-Bold" w:hAnsi="SourceHanSansCN-Bold" w:eastAsia="SourceHanSansCN-Bold" w:cs="SourceHanSansCN-Bold"/>
          <w:b/>
          <w:bCs/>
          <w:color w:val="000000"/>
          <w:kern w:val="0"/>
          <w:sz w:val="24"/>
          <w:lang w:bidi="ar"/>
        </w:rPr>
        <w:t>存储私网、业务网、管理网三网隔离</w:t>
      </w:r>
      <w:r>
        <w:rPr>
          <w:rFonts w:ascii="SourceHanSansCN-Regular" w:hAnsi="SourceHanSansCN-Regular" w:eastAsia="SourceHanSansCN-Regular" w:cs="SourceHanSansCN-Regular"/>
          <w:color w:val="000000"/>
          <w:kern w:val="0"/>
          <w:sz w:val="24"/>
          <w:lang w:bidi="ar"/>
        </w:rPr>
        <w:t>，保障医疗数据安全和传输稳定</w:t>
      </w:r>
    </w:p>
    <w:p w14:paraId="79726333">
      <w:pPr>
        <w:widowControl/>
        <w:numPr>
          <w:ilvl w:val="0"/>
          <w:numId w:val="0"/>
        </w:numPr>
        <w:ind w:leftChars="0"/>
        <w:jc w:val="left"/>
        <w:rPr>
          <w:rFonts w:ascii="SourceHanSansCN-Regular" w:hAnsi="SourceHanSansCN-Regular" w:eastAsia="SourceHanSansCN-Regular" w:cs="SourceHanSansCN-Regular"/>
          <w:color w:val="000000"/>
          <w:kern w:val="0"/>
          <w:sz w:val="24"/>
          <w:lang w:bidi="ar"/>
        </w:rPr>
      </w:pPr>
      <w:r>
        <w:rPr>
          <w:rFonts w:hint="eastAsia" w:ascii="SourceHanSansCN-Regular" w:hAnsi="SourceHanSansCN-Regular" w:eastAsia="SourceHanSansCN-Regular" w:cs="SourceHanSansCN-Regular"/>
          <w:color w:val="000000"/>
          <w:kern w:val="0"/>
          <w:sz w:val="24"/>
          <w:lang w:bidi="ar"/>
        </w:rPr>
        <w:t>超融合集群交换机</w:t>
      </w:r>
    </w:p>
    <w:p w14:paraId="6A1373BC">
      <w:pPr>
        <w:widowControl/>
        <w:numPr>
          <w:ilvl w:val="0"/>
          <w:numId w:val="0"/>
        </w:numPr>
        <w:ind w:leftChars="0"/>
        <w:jc w:val="left"/>
        <w:rPr>
          <w:rFonts w:ascii="SourceHanSansCN-Regular" w:hAnsi="SourceHanSansCN-Regular" w:eastAsia="SourceHanSansCN-Regular" w:cs="SourceHanSansCN-Regular"/>
          <w:color w:val="000000"/>
          <w:kern w:val="0"/>
          <w:sz w:val="24"/>
          <w:lang w:bidi="ar"/>
        </w:rPr>
      </w:pPr>
    </w:p>
    <w:p w14:paraId="47CAC41C">
      <w:pPr>
        <w:widowControl/>
        <w:numPr>
          <w:ilvl w:val="0"/>
          <w:numId w:val="0"/>
        </w:numPr>
        <w:ind w:leftChars="0"/>
        <w:jc w:val="left"/>
        <w:rPr>
          <w:rFonts w:ascii="SourceHanSansCN-Regular" w:hAnsi="SourceHanSansCN-Regular" w:eastAsia="SourceHanSansCN-Regular" w:cs="SourceHanSansCN-Regular"/>
          <w:color w:val="000000"/>
          <w:kern w:val="0"/>
          <w:sz w:val="24"/>
          <w:lang w:bidi="ar"/>
        </w:rPr>
      </w:pPr>
    </w:p>
    <w:p w14:paraId="5230AD64">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超融合软件平台功能参数</w:t>
      </w:r>
    </w:p>
    <w:p w14:paraId="3078B430">
      <w:pPr>
        <w:widowControl/>
        <w:numPr>
          <w:ilvl w:val="0"/>
          <w:numId w:val="8"/>
        </w:numPr>
        <w:ind w:firstLine="0"/>
        <w:jc w:val="left"/>
        <w:rPr>
          <w:rFonts w:ascii="SourceHanSansCN-Medium" w:hAnsi="SourceHanSansCN-Medium" w:eastAsia="SourceHanSansCN-Medium" w:cs="SourceHanSansCN-Medium"/>
          <w:color w:val="000000"/>
          <w:kern w:val="0"/>
          <w:sz w:val="24"/>
          <w:lang w:bidi="ar"/>
        </w:rPr>
      </w:pPr>
      <w:r>
        <w:rPr>
          <w:rFonts w:ascii="SourceHanSansCN-Medium" w:hAnsi="SourceHanSansCN-Medium" w:eastAsia="SourceHanSansCN-Medium" w:cs="SourceHanSansCN-Medium"/>
          <w:color w:val="000000"/>
          <w:kern w:val="0"/>
          <w:sz w:val="24"/>
          <w:lang w:bidi="ar"/>
        </w:rPr>
        <w:t>虚拟化平台功能</w:t>
      </w:r>
    </w:p>
    <w:p w14:paraId="63C6BA4A">
      <w:pPr>
        <w:widowControl/>
        <w:numPr>
          <w:ilvl w:val="0"/>
          <w:numId w:val="9"/>
        </w:numPr>
        <w:jc w:val="left"/>
      </w:pPr>
      <w:r>
        <w:rPr>
          <w:rFonts w:ascii="SourceHanSansCN-Regular" w:hAnsi="SourceHanSansCN-Regular" w:eastAsia="SourceHanSansCN-Regular" w:cs="SourceHanSansCN-Regular"/>
          <w:color w:val="000000"/>
          <w:kern w:val="0"/>
          <w:sz w:val="24"/>
          <w:lang w:bidi="ar"/>
        </w:rPr>
        <w:t>完整服务器虚拟化，支持</w:t>
      </w:r>
      <w:r>
        <w:rPr>
          <w:rFonts w:hint="eastAsia" w:ascii="SourceHanSansCN-Regular" w:hAnsi="SourceHanSansCN-Regular" w:eastAsia="SourceHanSansCN-Regular" w:cs="SourceHanSansCN-Regular"/>
          <w:color w:val="000000"/>
          <w:kern w:val="0"/>
          <w:sz w:val="24"/>
          <w:lang w:val="en-US" w:eastAsia="zh-CN" w:bidi="ar"/>
        </w:rPr>
        <w:t>openEuler、银河麒麟、红旗等</w:t>
      </w:r>
      <w:r>
        <w:rPr>
          <w:rFonts w:ascii="SourceHanSansCN-Regular" w:hAnsi="SourceHanSansCN-Regular" w:eastAsia="SourceHanSansCN-Regular" w:cs="SourceHanSansCN-Regular"/>
          <w:color w:val="000000"/>
          <w:kern w:val="0"/>
          <w:sz w:val="24"/>
          <w:lang w:bidi="ar"/>
        </w:rPr>
        <w:t>系统兼容</w:t>
      </w:r>
    </w:p>
    <w:p w14:paraId="626B8B4F">
      <w:pPr>
        <w:widowControl/>
        <w:numPr>
          <w:ilvl w:val="0"/>
          <w:numId w:val="9"/>
        </w:numPr>
        <w:jc w:val="left"/>
      </w:pPr>
      <w:r>
        <w:rPr>
          <w:rFonts w:ascii="SourceHanSansCN-Regular" w:hAnsi="SourceHanSansCN-Regular" w:eastAsia="SourceHanSansCN-Regular" w:cs="SourceHanSansCN-Regular"/>
          <w:color w:val="000000"/>
          <w:kern w:val="0"/>
          <w:sz w:val="24"/>
          <w:lang w:bidi="ar"/>
        </w:rPr>
        <w:t>支持虚拟机热迁移、不停机迁移</w:t>
      </w:r>
    </w:p>
    <w:p w14:paraId="52CC3D06">
      <w:pPr>
        <w:widowControl/>
        <w:numPr>
          <w:ilvl w:val="0"/>
          <w:numId w:val="9"/>
        </w:numPr>
        <w:jc w:val="left"/>
      </w:pPr>
      <w:r>
        <w:rPr>
          <w:rFonts w:ascii="SourceHanSansCN-Regular" w:hAnsi="SourceHanSansCN-Regular" w:eastAsia="SourceHanSansCN-Regular" w:cs="SourceHanSansCN-Regular"/>
          <w:color w:val="000000"/>
          <w:kern w:val="0"/>
          <w:sz w:val="24"/>
          <w:lang w:bidi="ar"/>
        </w:rPr>
        <w:t>支持CPU、内存、硬盘资源限额、QOS优先级</w:t>
      </w:r>
    </w:p>
    <w:p w14:paraId="004DFB88">
      <w:pPr>
        <w:widowControl/>
        <w:numPr>
          <w:ilvl w:val="0"/>
          <w:numId w:val="9"/>
        </w:numPr>
        <w:jc w:val="left"/>
      </w:pPr>
      <w:r>
        <w:rPr>
          <w:rFonts w:ascii="SourceHanSansCN-Regular" w:hAnsi="SourceHanSansCN-Regular" w:eastAsia="SourceHanSansCN-Regular" w:cs="SourceHanSansCN-Regular"/>
          <w:color w:val="000000"/>
          <w:kern w:val="0"/>
          <w:sz w:val="24"/>
          <w:lang w:bidi="ar"/>
        </w:rPr>
        <w:t>支持虚拟机批量部署、克隆、模板部署</w:t>
      </w:r>
    </w:p>
    <w:p w14:paraId="4AB7368B">
      <w:pPr>
        <w:widowControl/>
        <w:numPr>
          <w:ilvl w:val="0"/>
          <w:numId w:val="8"/>
        </w:numPr>
        <w:ind w:firstLine="0"/>
        <w:jc w:val="left"/>
        <w:rPr>
          <w:rFonts w:ascii="SourceHanSansCN-Medium" w:hAnsi="SourceHanSansCN-Medium" w:eastAsia="SourceHanSansCN-Medium" w:cs="SourceHanSansCN-Medium"/>
          <w:color w:val="000000"/>
          <w:kern w:val="0"/>
          <w:sz w:val="24"/>
          <w:lang w:bidi="ar"/>
        </w:rPr>
      </w:pPr>
      <w:r>
        <w:rPr>
          <w:rFonts w:ascii="SourceHanSansCN-Medium" w:hAnsi="SourceHanSansCN-Medium" w:eastAsia="SourceHanSansCN-Medium" w:cs="SourceHanSansCN-Medium"/>
          <w:color w:val="000000"/>
          <w:kern w:val="0"/>
          <w:sz w:val="24"/>
          <w:lang w:bidi="ar"/>
        </w:rPr>
        <w:t>分布式存储核心功能</w:t>
      </w:r>
    </w:p>
    <w:p w14:paraId="71B45DCB">
      <w:pPr>
        <w:widowControl/>
        <w:numPr>
          <w:ilvl w:val="0"/>
          <w:numId w:val="10"/>
        </w:numPr>
        <w:jc w:val="left"/>
      </w:pPr>
      <w:r>
        <w:rPr>
          <w:rFonts w:ascii="SourceHanSansCN-Regular" w:hAnsi="SourceHanSansCN-Regular" w:eastAsia="SourceHanSansCN-Regular" w:cs="SourceHanSansCN-Regular"/>
          <w:color w:val="000000"/>
          <w:kern w:val="0"/>
          <w:sz w:val="24"/>
          <w:lang w:bidi="ar"/>
        </w:rPr>
        <w:t>全局分布式存储池，所有节点硬盘统一池化</w:t>
      </w:r>
    </w:p>
    <w:p w14:paraId="2F7F212B">
      <w:pPr>
        <w:widowControl/>
        <w:numPr>
          <w:ilvl w:val="0"/>
          <w:numId w:val="10"/>
        </w:numPr>
        <w:jc w:val="left"/>
      </w:pPr>
      <w:r>
        <w:rPr>
          <w:rFonts w:ascii="SourceHanSansCN-Bold" w:hAnsi="SourceHanSansCN-Bold" w:eastAsia="SourceHanSansCN-Bold" w:cs="SourceHanSansCN-Bold"/>
          <w:b/>
          <w:bCs/>
          <w:color w:val="000000"/>
          <w:kern w:val="0"/>
          <w:sz w:val="24"/>
          <w:lang w:bidi="ar"/>
        </w:rPr>
        <w:t>支持2副本/3副本自由切换</w:t>
      </w:r>
      <w:r>
        <w:rPr>
          <w:rFonts w:ascii="SourceHanSansCN-Regular" w:hAnsi="SourceHanSansCN-Regular" w:eastAsia="SourceHanSansCN-Regular" w:cs="SourceHanSansCN-Regular"/>
          <w:color w:val="000000"/>
          <w:kern w:val="0"/>
          <w:sz w:val="24"/>
          <w:lang w:bidi="ar"/>
        </w:rPr>
        <w:t>，支持</w:t>
      </w:r>
      <w:r>
        <w:rPr>
          <w:rFonts w:ascii="SourceHanSansCN-Bold" w:hAnsi="SourceHanSansCN-Bold" w:eastAsia="SourceHanSansCN-Bold" w:cs="SourceHanSansCN-Bold"/>
          <w:b/>
          <w:bCs/>
          <w:color w:val="000000"/>
          <w:kern w:val="0"/>
          <w:sz w:val="24"/>
          <w:lang w:bidi="ar"/>
        </w:rPr>
        <w:t>冷热数据自动分层</w:t>
      </w:r>
      <w:r>
        <w:rPr>
          <w:rFonts w:ascii="SourceHanSansCN-Regular" w:hAnsi="SourceHanSansCN-Regular" w:eastAsia="SourceHanSansCN-Regular" w:cs="SourceHanSansCN-Regular"/>
          <w:color w:val="000000"/>
          <w:kern w:val="0"/>
          <w:sz w:val="24"/>
          <w:lang w:bidi="ar"/>
        </w:rPr>
        <w:t>：热点切片自动跑缓存</w:t>
      </w:r>
      <w:r>
        <w:rPr>
          <w:rFonts w:hint="eastAsia" w:ascii="宋体" w:hAnsi="宋体" w:eastAsia="宋体" w:cs="宋体"/>
          <w:color w:val="000000"/>
          <w:kern w:val="0"/>
          <w:sz w:val="24"/>
          <w:lang w:bidi="ar"/>
        </w:rPr>
        <w:t>盘</w:t>
      </w:r>
      <w:r>
        <w:rPr>
          <w:rFonts w:ascii="SourceHanSansCN-Regular" w:hAnsi="SourceHanSansCN-Regular" w:eastAsia="SourceHanSansCN-Regular" w:cs="SourceHanSansCN-Regular"/>
          <w:color w:val="000000"/>
          <w:kern w:val="0"/>
          <w:sz w:val="24"/>
          <w:lang w:bidi="ar"/>
        </w:rPr>
        <w:t>，冷归档数据自动下沉大容量盘</w:t>
      </w:r>
    </w:p>
    <w:p w14:paraId="3B28422B">
      <w:pPr>
        <w:widowControl/>
        <w:numPr>
          <w:ilvl w:val="0"/>
          <w:numId w:val="10"/>
        </w:numPr>
        <w:jc w:val="left"/>
      </w:pPr>
      <w:r>
        <w:rPr>
          <w:rFonts w:ascii="SourceHanSansCN-Regular" w:hAnsi="SourceHanSansCN-Regular" w:eastAsia="SourceHanSansCN-Regular" w:cs="SourceHanSansCN-Regular"/>
          <w:color w:val="000000"/>
          <w:kern w:val="0"/>
          <w:sz w:val="24"/>
          <w:lang w:bidi="ar"/>
        </w:rPr>
        <w:t>硬盘故障自动重构、节点故障数据自动修复</w:t>
      </w:r>
    </w:p>
    <w:p w14:paraId="127F3368">
      <w:pPr>
        <w:widowControl/>
        <w:numPr>
          <w:ilvl w:val="0"/>
          <w:numId w:val="10"/>
        </w:numPr>
        <w:jc w:val="left"/>
      </w:pPr>
      <w:r>
        <w:rPr>
          <w:rFonts w:ascii="SourceHanSansCN-Regular" w:hAnsi="SourceHanSansCN-Regular" w:eastAsia="SourceHanSansCN-Regular" w:cs="SourceHanSansCN-Regular"/>
          <w:color w:val="000000"/>
          <w:kern w:val="0"/>
          <w:sz w:val="24"/>
          <w:lang w:bidi="ar"/>
        </w:rPr>
        <w:t>支持存储带宽、IOPS智能负载均衡</w:t>
      </w:r>
    </w:p>
    <w:p w14:paraId="34E3D0B5">
      <w:pPr>
        <w:widowControl/>
        <w:numPr>
          <w:ilvl w:val="0"/>
          <w:numId w:val="8"/>
        </w:numPr>
        <w:ind w:firstLine="0"/>
        <w:jc w:val="left"/>
        <w:rPr>
          <w:rFonts w:ascii="SourceHanSansCN-Medium" w:hAnsi="SourceHanSansCN-Medium" w:eastAsia="SourceHanSansCN-Medium" w:cs="SourceHanSansCN-Medium"/>
          <w:color w:val="000000"/>
          <w:kern w:val="0"/>
          <w:sz w:val="24"/>
          <w:lang w:bidi="ar"/>
        </w:rPr>
      </w:pPr>
      <w:r>
        <w:rPr>
          <w:rFonts w:ascii="SourceHanSansCN-Medium" w:hAnsi="SourceHanSansCN-Medium" w:eastAsia="SourceHanSansCN-Medium" w:cs="SourceHanSansCN-Medium"/>
          <w:color w:val="000000"/>
          <w:kern w:val="0"/>
          <w:sz w:val="24"/>
          <w:lang w:bidi="ar"/>
        </w:rPr>
        <w:t>数据安全功能（医院等保必备）</w:t>
      </w:r>
    </w:p>
    <w:p w14:paraId="22CA84E0">
      <w:pPr>
        <w:widowControl/>
        <w:numPr>
          <w:ilvl w:val="0"/>
          <w:numId w:val="11"/>
        </w:numPr>
        <w:jc w:val="left"/>
      </w:pPr>
      <w:r>
        <w:rPr>
          <w:rFonts w:ascii="SourceHanSansCN-Regular" w:hAnsi="SourceHanSansCN-Regular" w:eastAsia="SourceHanSansCN-Regular" w:cs="SourceHanSansCN-Regular"/>
          <w:color w:val="000000"/>
          <w:kern w:val="0"/>
          <w:sz w:val="24"/>
          <w:lang w:bidi="ar"/>
        </w:rPr>
        <w:t>虚拟机快照、定时快照、快照策略保留</w:t>
      </w:r>
    </w:p>
    <w:p w14:paraId="4E58460A">
      <w:pPr>
        <w:widowControl/>
        <w:numPr>
          <w:ilvl w:val="0"/>
          <w:numId w:val="11"/>
        </w:numPr>
        <w:jc w:val="left"/>
      </w:pPr>
      <w:r>
        <w:rPr>
          <w:rFonts w:ascii="SourceHanSansCN-Regular" w:hAnsi="SourceHanSansCN-Regular" w:eastAsia="SourceHanSansCN-Regular" w:cs="SourceHanSansCN-Regular"/>
          <w:color w:val="000000"/>
          <w:kern w:val="0"/>
          <w:sz w:val="24"/>
          <w:lang w:bidi="ar"/>
        </w:rPr>
        <w:t>支持整机备份、文件级备份、数据库一致性备份</w:t>
      </w:r>
    </w:p>
    <w:p w14:paraId="2B83BE1B">
      <w:pPr>
        <w:widowControl/>
        <w:numPr>
          <w:ilvl w:val="0"/>
          <w:numId w:val="11"/>
        </w:numPr>
        <w:jc w:val="left"/>
      </w:pPr>
      <w:r>
        <w:rPr>
          <w:rFonts w:ascii="SourceHanSansCN-Regular" w:hAnsi="SourceHanSansCN-Regular" w:eastAsia="SourceHanSansCN-Regular" w:cs="SourceHanSansCN-Regular"/>
          <w:color w:val="000000"/>
          <w:kern w:val="0"/>
          <w:sz w:val="24"/>
          <w:lang w:bidi="ar"/>
        </w:rPr>
        <w:t>支持数据权限分级、三员管理（管理员、操作员、审计员）</w:t>
      </w:r>
    </w:p>
    <w:p w14:paraId="7820EECB">
      <w:pPr>
        <w:widowControl/>
        <w:numPr>
          <w:ilvl w:val="0"/>
          <w:numId w:val="11"/>
        </w:numPr>
        <w:jc w:val="left"/>
      </w:pPr>
      <w:r>
        <w:rPr>
          <w:rFonts w:ascii="SourceHanSansCN-Regular" w:hAnsi="SourceHanSansCN-Regular" w:eastAsia="SourceHanSansCN-Regular" w:cs="SourceHanSansCN-Regular"/>
          <w:color w:val="000000"/>
          <w:kern w:val="0"/>
          <w:sz w:val="24"/>
          <w:lang w:bidi="ar"/>
        </w:rPr>
        <w:t>全操作日志记录、全程留痕、日志留存≥6个月</w:t>
      </w:r>
    </w:p>
    <w:p w14:paraId="2275CB8C">
      <w:pPr>
        <w:widowControl/>
        <w:numPr>
          <w:ilvl w:val="0"/>
          <w:numId w:val="11"/>
        </w:numPr>
        <w:jc w:val="left"/>
      </w:pPr>
      <w:r>
        <w:rPr>
          <w:rFonts w:ascii="SourceHanSansCN-Regular" w:hAnsi="SourceHanSansCN-Regular" w:eastAsia="SourceHanSansCN-Regular" w:cs="SourceHanSansCN-Regular"/>
          <w:color w:val="000000"/>
          <w:kern w:val="0"/>
          <w:sz w:val="24"/>
          <w:lang w:bidi="ar"/>
        </w:rPr>
        <w:t>支持数据安全擦除、存储池权限隔离、虚拟机隔离</w:t>
      </w:r>
    </w:p>
    <w:p w14:paraId="1C0E7F9F">
      <w:pPr>
        <w:widowControl/>
        <w:numPr>
          <w:ilvl w:val="0"/>
          <w:numId w:val="8"/>
        </w:numPr>
        <w:ind w:firstLine="0"/>
        <w:jc w:val="left"/>
        <w:rPr>
          <w:rFonts w:ascii="SourceHanSansCN-Medium" w:hAnsi="SourceHanSansCN-Medium" w:eastAsia="SourceHanSansCN-Medium" w:cs="SourceHanSansCN-Medium"/>
          <w:color w:val="000000"/>
          <w:kern w:val="0"/>
          <w:sz w:val="24"/>
          <w:lang w:bidi="ar"/>
        </w:rPr>
      </w:pPr>
      <w:r>
        <w:rPr>
          <w:rFonts w:ascii="SourceHanSansCN-Medium" w:hAnsi="SourceHanSansCN-Medium" w:eastAsia="SourceHanSansCN-Medium" w:cs="SourceHanSansCN-Medium"/>
          <w:color w:val="000000"/>
          <w:kern w:val="0"/>
          <w:sz w:val="24"/>
          <w:lang w:bidi="ar"/>
        </w:rPr>
        <w:t>高可用业务保障</w:t>
      </w:r>
    </w:p>
    <w:p w14:paraId="7342AE5B">
      <w:pPr>
        <w:widowControl/>
        <w:numPr>
          <w:ilvl w:val="0"/>
          <w:numId w:val="12"/>
        </w:numPr>
        <w:jc w:val="left"/>
      </w:pPr>
      <w:r>
        <w:rPr>
          <w:rFonts w:ascii="SourceHanSansCN-Regular" w:hAnsi="SourceHanSansCN-Regular" w:eastAsia="SourceHanSansCN-Regular" w:cs="SourceHanSansCN-Regular"/>
          <w:color w:val="000000"/>
          <w:kern w:val="0"/>
          <w:sz w:val="24"/>
          <w:lang w:bidi="ar"/>
        </w:rPr>
        <w:t>集群HA：单节点故障，虚拟机自动漂移恢复</w:t>
      </w:r>
    </w:p>
    <w:p w14:paraId="6027D0B8">
      <w:pPr>
        <w:widowControl/>
        <w:numPr>
          <w:ilvl w:val="0"/>
          <w:numId w:val="12"/>
        </w:numPr>
        <w:jc w:val="left"/>
      </w:pPr>
      <w:r>
        <w:rPr>
          <w:rFonts w:ascii="SourceHanSansCN-Regular" w:hAnsi="SourceHanSansCN-Regular" w:eastAsia="SourceHanSansCN-Regular" w:cs="SourceHanSansCN-Regular"/>
          <w:color w:val="000000"/>
          <w:kern w:val="0"/>
          <w:sz w:val="24"/>
          <w:lang w:bidi="ar"/>
        </w:rPr>
        <w:t>磁盘故障自愈、网络故障自愈</w:t>
      </w:r>
    </w:p>
    <w:p w14:paraId="727EFFD4">
      <w:pPr>
        <w:widowControl/>
        <w:numPr>
          <w:ilvl w:val="0"/>
          <w:numId w:val="12"/>
        </w:numPr>
        <w:jc w:val="left"/>
      </w:pPr>
      <w:r>
        <w:rPr>
          <w:rFonts w:ascii="SourceHanSansCN-Regular" w:hAnsi="SourceHanSansCN-Regular" w:eastAsia="SourceHanSansCN-Regular" w:cs="SourceHanSansCN-Regular"/>
          <w:color w:val="000000"/>
          <w:kern w:val="0"/>
          <w:sz w:val="24"/>
          <w:lang w:bidi="ar"/>
        </w:rPr>
        <w:t>支持业务开机自启动、故障自动重启</w:t>
      </w:r>
    </w:p>
    <w:p w14:paraId="0D2951D1">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软件授权硬性要求</w:t>
      </w:r>
    </w:p>
    <w:p w14:paraId="053484B0">
      <w:pPr>
        <w:widowControl/>
        <w:numPr>
          <w:ilvl w:val="0"/>
          <w:numId w:val="13"/>
        </w:numPr>
        <w:jc w:val="left"/>
      </w:pPr>
      <w:r>
        <w:rPr>
          <w:rFonts w:ascii="SourceHanSansCN-Regular" w:hAnsi="SourceHanSansCN-Regular" w:eastAsia="SourceHanSansCN-Regular" w:cs="SourceHanSansCN-Regular"/>
          <w:color w:val="000000"/>
          <w:kern w:val="0"/>
          <w:sz w:val="24"/>
          <w:lang w:bidi="ar"/>
        </w:rPr>
        <w:t>本次交付</w:t>
      </w:r>
      <w:r>
        <w:rPr>
          <w:rFonts w:ascii="SourceHanSansCN-Bold" w:hAnsi="SourceHanSansCN-Bold" w:eastAsia="SourceHanSansCN-Bold" w:cs="SourceHanSansCN-Bold"/>
          <w:b/>
          <w:bCs/>
          <w:color w:val="000000"/>
          <w:kern w:val="0"/>
          <w:sz w:val="24"/>
          <w:lang w:bidi="ar"/>
        </w:rPr>
        <w:t>所有虚拟化授权、集群管理授权全部永久正版-授权</w:t>
      </w:r>
    </w:p>
    <w:p w14:paraId="4AD30B89">
      <w:pPr>
        <w:widowControl/>
        <w:numPr>
          <w:ilvl w:val="0"/>
          <w:numId w:val="13"/>
        </w:numPr>
        <w:jc w:val="left"/>
      </w:pPr>
      <w:r>
        <w:rPr>
          <w:rFonts w:ascii="SourceHanSansCN-Bold" w:hAnsi="SourceHanSansCN-Bold" w:eastAsia="SourceHanSansCN-Bold" w:cs="SourceHanSansCN-Bold"/>
          <w:b/>
          <w:bCs/>
          <w:color w:val="000000"/>
          <w:kern w:val="0"/>
          <w:sz w:val="24"/>
          <w:lang w:bidi="ar"/>
        </w:rPr>
        <w:t>无按年订阅费、无扩容隐性收费、无后续功能收费</w:t>
      </w:r>
    </w:p>
    <w:p w14:paraId="1D6E5812">
      <w:pPr>
        <w:widowControl/>
        <w:numPr>
          <w:ilvl w:val="0"/>
          <w:numId w:val="13"/>
        </w:numPr>
        <w:jc w:val="left"/>
      </w:pPr>
      <w:r>
        <w:rPr>
          <w:rFonts w:ascii="SourceHanSansCN-Regular" w:hAnsi="SourceHanSansCN-Regular" w:eastAsia="SourceHanSansCN-Regular" w:cs="SourceHanSansCN-Regular"/>
          <w:color w:val="000000"/>
          <w:kern w:val="0"/>
          <w:sz w:val="24"/>
          <w:lang w:bidi="ar"/>
        </w:rPr>
        <w:t>提供原厂正版授权证书，可查验</w:t>
      </w:r>
    </w:p>
    <w:p w14:paraId="2D356117">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信创与国产化专项要求</w:t>
      </w:r>
    </w:p>
    <w:p w14:paraId="1D674789">
      <w:pPr>
        <w:pStyle w:val="8"/>
        <w:widowControl/>
        <w:numPr>
          <w:ilvl w:val="0"/>
          <w:numId w:val="14"/>
        </w:numPr>
        <w:ind w:firstLineChars="0"/>
        <w:jc w:val="left"/>
        <w:rPr>
          <w:rFonts w:ascii="SourceHanSansCN-Regular" w:hAnsi="SourceHanSansCN-Regular" w:eastAsia="SourceHanSansCN-Regular" w:cs="SourceHanSansCN-Regular"/>
          <w:color w:val="000000"/>
          <w:kern w:val="0"/>
          <w:sz w:val="24"/>
          <w:szCs w:val="24"/>
          <w:lang w:val="en-US" w:eastAsia="zh-CN" w:bidi="ar"/>
        </w:rPr>
      </w:pPr>
      <w:r>
        <w:rPr>
          <w:rFonts w:ascii="SourceHanSansCN-Regular" w:hAnsi="SourceHanSansCN-Regular" w:eastAsia="SourceHanSansCN-Regular" w:cs="SourceHanSansCN-Regular"/>
          <w:color w:val="000000"/>
          <w:kern w:val="0"/>
          <w:sz w:val="24"/>
          <w:szCs w:val="24"/>
          <w:lang w:val="en-US" w:eastAsia="zh-CN" w:bidi="ar"/>
        </w:rPr>
        <w:t>CPU</w:t>
      </w:r>
      <w:r>
        <w:rPr>
          <w:rFonts w:hint="eastAsia" w:ascii="SourceHanSansCN-Regular" w:hAnsi="SourceHanSansCN-Regular" w:eastAsia="SourceHanSansCN-Regular" w:cs="SourceHanSansCN-Regular"/>
          <w:color w:val="000000"/>
          <w:kern w:val="0"/>
          <w:sz w:val="24"/>
          <w:szCs w:val="24"/>
          <w:lang w:val="en-US" w:eastAsia="zh-CN" w:bidi="ar"/>
        </w:rPr>
        <w:t>采用国产自主可控处理器，服务器整机为国产品牌，杜绝境外固件安全隐患</w:t>
      </w:r>
    </w:p>
    <w:p w14:paraId="3401E9D6">
      <w:pPr>
        <w:widowControl/>
        <w:numPr>
          <w:ilvl w:val="0"/>
          <w:numId w:val="14"/>
        </w:numPr>
        <w:jc w:val="left"/>
      </w:pPr>
      <w:r>
        <w:rPr>
          <w:rFonts w:ascii="SourceHanSansCN-Regular" w:hAnsi="SourceHanSansCN-Regular" w:eastAsia="SourceHanSansCN-Regular" w:cs="SourceHanSansCN-Regular"/>
          <w:color w:val="000000"/>
          <w:kern w:val="0"/>
          <w:sz w:val="24"/>
          <w:lang w:bidi="ar"/>
        </w:rPr>
        <w:t>超融合平台虚拟化、集群管理等核心软件均为国产自研，不依赖VMware等国外虚拟化技术授权</w:t>
      </w:r>
    </w:p>
    <w:p w14:paraId="40188052">
      <w:pPr>
        <w:widowControl/>
        <w:numPr>
          <w:ilvl w:val="0"/>
          <w:numId w:val="14"/>
        </w:numPr>
        <w:jc w:val="left"/>
        <w:rPr>
          <w:rFonts w:hint="eastAsia"/>
        </w:rPr>
      </w:pPr>
      <w:r>
        <w:rPr>
          <w:rFonts w:ascii="SourceHanSansCN-Regular" w:hAnsi="SourceHanSansCN-Regular" w:eastAsia="SourceHanSansCN-Regular" w:cs="SourceHanSansCN-Regular"/>
          <w:color w:val="000000"/>
          <w:kern w:val="0"/>
          <w:sz w:val="24"/>
          <w:lang w:bidi="ar"/>
        </w:rPr>
        <w:t>平台</w:t>
      </w:r>
      <w:r>
        <w:rPr>
          <w:rFonts w:hint="eastAsia" w:ascii="宋体" w:hAnsi="宋体" w:eastAsia="宋体" w:cs="宋体"/>
          <w:color w:val="000000"/>
          <w:kern w:val="0"/>
          <w:sz w:val="24"/>
          <w:lang w:bidi="ar"/>
        </w:rPr>
        <w:t>可</w:t>
      </w:r>
      <w:r>
        <w:rPr>
          <w:rFonts w:ascii="SourceHanSansCN-Regular" w:hAnsi="SourceHanSansCN-Regular" w:eastAsia="SourceHanSansCN-Regular" w:cs="SourceHanSansCN-Regular"/>
          <w:color w:val="000000"/>
          <w:kern w:val="0"/>
          <w:sz w:val="24"/>
          <w:lang w:bidi="ar"/>
        </w:rPr>
        <w:t>兼容国产数据库等及国产中间件，为业务系统后续国产化改造预留条件</w:t>
      </w:r>
    </w:p>
    <w:p w14:paraId="06FF9878">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业务兼容性要求</w:t>
      </w:r>
    </w:p>
    <w:p w14:paraId="1688DC6F">
      <w:pPr>
        <w:widowControl/>
        <w:numPr>
          <w:ilvl w:val="0"/>
          <w:numId w:val="15"/>
        </w:numPr>
        <w:jc w:val="left"/>
      </w:pPr>
      <w:r>
        <w:rPr>
          <w:rFonts w:ascii="SourceHanSansCN-Regular" w:hAnsi="SourceHanSansCN-Regular" w:eastAsia="SourceHanSansCN-Regular" w:cs="SourceHanSansCN-Regular"/>
          <w:color w:val="000000"/>
          <w:kern w:val="0"/>
          <w:sz w:val="24"/>
          <w:lang w:bidi="ar"/>
        </w:rPr>
        <w:t>完全兼容我院现有</w:t>
      </w:r>
      <w:r>
        <w:rPr>
          <w:rFonts w:ascii="SourceHanSansCN-Bold" w:hAnsi="SourceHanSansCN-Bold" w:eastAsia="SourceHanSansCN-Bold" w:cs="SourceHanSansCN-Bold"/>
          <w:b/>
          <w:bCs/>
          <w:color w:val="000000"/>
          <w:kern w:val="0"/>
          <w:sz w:val="24"/>
          <w:lang w:bidi="ar"/>
        </w:rPr>
        <w:t>病理LIS系统、WSI数字病理阅片系统、病理数据库</w:t>
      </w:r>
    </w:p>
    <w:p w14:paraId="1B7D4194">
      <w:pPr>
        <w:widowControl/>
        <w:numPr>
          <w:ilvl w:val="0"/>
          <w:numId w:val="15"/>
        </w:numPr>
        <w:jc w:val="left"/>
      </w:pPr>
      <w:r>
        <w:rPr>
          <w:rFonts w:ascii="SourceHanSansCN-Regular" w:hAnsi="SourceHanSansCN-Regular" w:eastAsia="SourceHanSansCN-Regular" w:cs="SourceHanSansCN-Regular"/>
          <w:color w:val="000000"/>
          <w:kern w:val="0"/>
          <w:sz w:val="24"/>
          <w:lang w:bidi="ar"/>
        </w:rPr>
        <w:t>兼容SQLServer、MySQL医疗数据库稳定运行</w:t>
      </w:r>
    </w:p>
    <w:p w14:paraId="2F498789">
      <w:pPr>
        <w:widowControl/>
        <w:numPr>
          <w:ilvl w:val="0"/>
          <w:numId w:val="15"/>
        </w:numPr>
        <w:jc w:val="left"/>
      </w:pPr>
      <w:r>
        <w:rPr>
          <w:rFonts w:ascii="SourceHanSansCN-Regular" w:hAnsi="SourceHanSansCN-Regular" w:eastAsia="SourceHanSansCN-Regular" w:cs="SourceHanSansCN-Regular"/>
          <w:color w:val="000000"/>
          <w:kern w:val="0"/>
          <w:sz w:val="24"/>
          <w:lang w:bidi="ar"/>
        </w:rPr>
        <w:t>兼容达梦、人大金仓等国产数据库及国产操作系统虚拟机稳定运行</w:t>
      </w:r>
    </w:p>
    <w:p w14:paraId="32E15229">
      <w:pPr>
        <w:widowControl/>
        <w:numPr>
          <w:ilvl w:val="0"/>
          <w:numId w:val="15"/>
        </w:numPr>
        <w:jc w:val="left"/>
      </w:pPr>
      <w:r>
        <w:rPr>
          <w:rFonts w:ascii="SourceHanSansCN-Regular" w:hAnsi="SourceHanSansCN-Regular" w:eastAsia="SourceHanSansCN-Regular" w:cs="SourceHanSansCN-Regular"/>
          <w:color w:val="000000"/>
          <w:kern w:val="0"/>
          <w:sz w:val="24"/>
          <w:lang w:bidi="ar"/>
        </w:rPr>
        <w:t>兼容医院现有等保安全、防火墙、审计系统</w:t>
      </w:r>
    </w:p>
    <w:p w14:paraId="0919BC00">
      <w:pPr>
        <w:widowControl/>
        <w:numPr>
          <w:ilvl w:val="0"/>
          <w:numId w:val="15"/>
        </w:numPr>
        <w:jc w:val="left"/>
        <w:rPr>
          <w:rFonts w:ascii="SourceHanSansCN-Bold" w:hAnsi="SourceHanSansCN-Bold" w:eastAsia="SourceHanSansCN-Bold" w:cs="SourceHanSansCN-Bold"/>
          <w:b/>
          <w:bCs/>
          <w:color w:val="000000"/>
          <w:kern w:val="0"/>
          <w:sz w:val="24"/>
          <w:lang w:bidi="ar"/>
        </w:rPr>
      </w:pPr>
      <w:r>
        <w:rPr>
          <w:rFonts w:ascii="SourceHanSansCN-Regular" w:hAnsi="SourceHanSansCN-Regular" w:eastAsia="SourceHanSansCN-Regular" w:cs="SourceHanSansCN-Regular"/>
          <w:color w:val="000000"/>
          <w:kern w:val="0"/>
          <w:sz w:val="24"/>
          <w:lang w:bidi="ar"/>
        </w:rPr>
        <w:t>投标方须提供</w:t>
      </w:r>
      <w:r>
        <w:rPr>
          <w:rFonts w:ascii="SourceHanSansCN-Bold" w:hAnsi="SourceHanSansCN-Bold" w:eastAsia="SourceHanSansCN-Bold" w:cs="SourceHanSansCN-Bold"/>
          <w:b/>
          <w:bCs/>
          <w:color w:val="000000"/>
          <w:kern w:val="0"/>
          <w:sz w:val="24"/>
          <w:lang w:bidi="ar"/>
        </w:rPr>
        <w:t>医疗业务兼容性承诺书</w:t>
      </w:r>
    </w:p>
    <w:p w14:paraId="3B4DFBF4">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性能指标量化要求</w:t>
      </w:r>
    </w:p>
    <w:p w14:paraId="39C7A312">
      <w:pPr>
        <w:widowControl/>
        <w:numPr>
          <w:ilvl w:val="0"/>
          <w:numId w:val="16"/>
        </w:numPr>
        <w:jc w:val="left"/>
      </w:pPr>
      <w:r>
        <w:rPr>
          <w:rFonts w:ascii="SourceHanSansCN-Regular" w:hAnsi="SourceHanSansCN-Regular" w:eastAsia="SourceHanSansCN-Regular" w:cs="SourceHanSansCN-Regular"/>
          <w:color w:val="000000"/>
          <w:kern w:val="0"/>
          <w:sz w:val="24"/>
          <w:lang w:bidi="ar"/>
        </w:rPr>
        <w:t>平台支持</w:t>
      </w:r>
      <w:r>
        <w:rPr>
          <w:rFonts w:ascii="SourceHanSansCN-Bold" w:hAnsi="SourceHanSansCN-Bold" w:eastAsia="SourceHanSansCN-Bold" w:cs="SourceHanSansCN-Bold"/>
          <w:b/>
          <w:bCs/>
          <w:color w:val="000000"/>
          <w:kern w:val="0"/>
          <w:sz w:val="24"/>
          <w:lang w:bidi="ar"/>
        </w:rPr>
        <w:t>百人以上同时在线阅片无卡顿</w:t>
      </w:r>
    </w:p>
    <w:p w14:paraId="3AC7C4CD">
      <w:pPr>
        <w:widowControl/>
        <w:numPr>
          <w:ilvl w:val="0"/>
          <w:numId w:val="16"/>
        </w:numPr>
        <w:jc w:val="left"/>
      </w:pPr>
      <w:r>
        <w:rPr>
          <w:rFonts w:ascii="SourceHanSansCN-Regular" w:hAnsi="SourceHanSansCN-Regular" w:eastAsia="SourceHanSansCN-Regular" w:cs="SourceHanSansCN-Regular"/>
          <w:color w:val="000000"/>
          <w:kern w:val="0"/>
          <w:sz w:val="24"/>
          <w:lang w:bidi="ar"/>
        </w:rPr>
        <w:t>支持GB级超大病理切片秒级打开</w:t>
      </w:r>
    </w:p>
    <w:p w14:paraId="1CD5CF75">
      <w:pPr>
        <w:widowControl/>
        <w:numPr>
          <w:ilvl w:val="0"/>
          <w:numId w:val="16"/>
        </w:numPr>
        <w:jc w:val="left"/>
      </w:pPr>
      <w:r>
        <w:rPr>
          <w:rFonts w:ascii="SourceHanSansCN-Regular" w:hAnsi="SourceHanSansCN-Regular" w:eastAsia="SourceHanSansCN-Regular" w:cs="SourceHanSansCN-Regular"/>
          <w:color w:val="000000"/>
          <w:kern w:val="0"/>
          <w:sz w:val="24"/>
          <w:lang w:bidi="ar"/>
        </w:rPr>
        <w:t>分布式存储持续读写性能稳定，无掉速、无卡顿</w:t>
      </w:r>
    </w:p>
    <w:p w14:paraId="51846CF5">
      <w:pPr>
        <w:widowControl/>
        <w:numPr>
          <w:ilvl w:val="0"/>
          <w:numId w:val="16"/>
        </w:numPr>
        <w:jc w:val="left"/>
      </w:pPr>
      <w:r>
        <w:rPr>
          <w:rFonts w:ascii="SourceHanSansCN-Regular" w:hAnsi="SourceHanSansCN-Regular" w:eastAsia="SourceHanSansCN-Regular" w:cs="SourceHanSansCN-Regular"/>
          <w:color w:val="000000"/>
          <w:kern w:val="0"/>
          <w:sz w:val="24"/>
          <w:lang w:bidi="ar"/>
        </w:rPr>
        <w:t>集群支持后期无缝扩容节点，扩容不中断业务</w:t>
      </w:r>
    </w:p>
    <w:p w14:paraId="6054C858">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安全合规要求</w:t>
      </w:r>
    </w:p>
    <w:p w14:paraId="2F96D3E7">
      <w:pPr>
        <w:widowControl/>
        <w:numPr>
          <w:ilvl w:val="0"/>
          <w:numId w:val="17"/>
        </w:numPr>
        <w:jc w:val="left"/>
      </w:pPr>
      <w:r>
        <w:rPr>
          <w:rFonts w:ascii="SourceHanSansCN-Regular" w:hAnsi="SourceHanSansCN-Regular" w:eastAsia="SourceHanSansCN-Regular" w:cs="SourceHanSansCN-Regular"/>
          <w:color w:val="000000"/>
          <w:kern w:val="0"/>
          <w:sz w:val="24"/>
          <w:lang w:bidi="ar"/>
        </w:rPr>
        <w:t>满足</w:t>
      </w:r>
      <w:r>
        <w:rPr>
          <w:rFonts w:ascii="SourceHanSansCN-Bold" w:hAnsi="SourceHanSansCN-Bold" w:eastAsia="SourceHanSansCN-Bold" w:cs="SourceHanSansCN-Bold"/>
          <w:b/>
          <w:bCs/>
          <w:color w:val="000000"/>
          <w:kern w:val="0"/>
          <w:sz w:val="24"/>
          <w:lang w:bidi="ar"/>
        </w:rPr>
        <w:t>网络安全等级保护2.0三级</w:t>
      </w:r>
      <w:r>
        <w:rPr>
          <w:rFonts w:ascii="SourceHanSansCN-Regular" w:hAnsi="SourceHanSansCN-Regular" w:eastAsia="SourceHanSansCN-Regular" w:cs="SourceHanSansCN-Regular"/>
          <w:color w:val="000000"/>
          <w:kern w:val="0"/>
          <w:sz w:val="24"/>
          <w:lang w:bidi="ar"/>
        </w:rPr>
        <w:t>相关技术要求</w:t>
      </w:r>
    </w:p>
    <w:p w14:paraId="484C0907">
      <w:pPr>
        <w:widowControl/>
        <w:numPr>
          <w:ilvl w:val="0"/>
          <w:numId w:val="17"/>
        </w:numPr>
        <w:jc w:val="left"/>
      </w:pPr>
      <w:r>
        <w:rPr>
          <w:rFonts w:ascii="SourceHanSansCN-Regular" w:hAnsi="SourceHanSansCN-Regular" w:eastAsia="SourceHanSansCN-Regular" w:cs="SourceHanSansCN-Regular"/>
          <w:color w:val="000000"/>
          <w:kern w:val="0"/>
          <w:sz w:val="24"/>
          <w:lang w:bidi="ar"/>
        </w:rPr>
        <w:t>具备账号安全策略、密码策略、登录审计、异常登录拦截</w:t>
      </w:r>
    </w:p>
    <w:p w14:paraId="28032FA8">
      <w:pPr>
        <w:widowControl/>
        <w:numPr>
          <w:ilvl w:val="0"/>
          <w:numId w:val="17"/>
        </w:numPr>
        <w:jc w:val="left"/>
      </w:pPr>
      <w:r>
        <w:rPr>
          <w:rFonts w:ascii="SourceHanSansCN-Regular" w:hAnsi="SourceHanSansCN-Regular" w:eastAsia="SourceHanSansCN-Regular" w:cs="SourceHanSansCN-Regular"/>
          <w:color w:val="000000"/>
          <w:kern w:val="0"/>
          <w:sz w:val="24"/>
          <w:lang w:bidi="ar"/>
        </w:rPr>
        <w:t>支持操作权限最小化、业务虚拟机相互隔离</w:t>
      </w:r>
    </w:p>
    <w:p w14:paraId="1D47F8E7">
      <w:pPr>
        <w:widowControl/>
        <w:numPr>
          <w:ilvl w:val="0"/>
          <w:numId w:val="17"/>
        </w:numPr>
        <w:jc w:val="left"/>
      </w:pPr>
      <w:r>
        <w:rPr>
          <w:rFonts w:ascii="SourceHanSansCN-Regular" w:hAnsi="SourceHanSansCN-Regular" w:eastAsia="SourceHanSansCN-Regular" w:cs="SourceHanSansCN-Regular"/>
          <w:color w:val="000000"/>
          <w:kern w:val="0"/>
          <w:sz w:val="24"/>
          <w:lang w:bidi="ar"/>
        </w:rPr>
        <w:t>所有患者病理数据归属医院所有，厂商不得备份、不得外传、不得留存</w:t>
      </w:r>
    </w:p>
    <w:p w14:paraId="6D248A96">
      <w:pPr>
        <w:widowControl/>
        <w:numPr>
          <w:ilvl w:val="0"/>
          <w:numId w:val="17"/>
        </w:numPr>
        <w:jc w:val="left"/>
      </w:pPr>
      <w:r>
        <w:rPr>
          <w:rFonts w:ascii="SourceHanSansCN-Regular" w:hAnsi="SourceHanSansCN-Regular" w:eastAsia="SourceHanSansCN-Regular" w:cs="SourceHanSansCN-Regular"/>
          <w:color w:val="000000"/>
          <w:kern w:val="0"/>
          <w:sz w:val="24"/>
          <w:lang w:bidi="ar"/>
        </w:rPr>
        <w:t>满足信创安全可控要求，产品及组件无已知境外安全后门，厂商须提供供应链安全承诺</w:t>
      </w:r>
    </w:p>
    <w:p w14:paraId="2DE58013">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售后服务、质保、运维要求</w:t>
      </w:r>
    </w:p>
    <w:p w14:paraId="586F1BD0">
      <w:pPr>
        <w:widowControl/>
        <w:numPr>
          <w:ilvl w:val="0"/>
          <w:numId w:val="18"/>
        </w:numPr>
        <w:jc w:val="left"/>
      </w:pPr>
      <w:r>
        <w:rPr>
          <w:rFonts w:ascii="SourceHanSansCN-Bold" w:hAnsi="SourceHanSansCN-Bold" w:eastAsia="SourceHanSansCN-Bold" w:cs="SourceHanSansCN-Bold"/>
          <w:b/>
          <w:bCs/>
          <w:color w:val="000000"/>
          <w:kern w:val="0"/>
          <w:sz w:val="24"/>
          <w:lang w:bidi="ar"/>
        </w:rPr>
        <w:t>整机原厂3年7×24小时上门质保服务</w:t>
      </w:r>
    </w:p>
    <w:p w14:paraId="398ADC45">
      <w:pPr>
        <w:widowControl/>
        <w:numPr>
          <w:ilvl w:val="0"/>
          <w:numId w:val="18"/>
        </w:numPr>
        <w:jc w:val="left"/>
      </w:pPr>
      <w:r>
        <w:rPr>
          <w:rFonts w:ascii="SourceHanSansCN-Regular" w:hAnsi="SourceHanSansCN-Regular" w:eastAsia="SourceHanSansCN-Regular" w:cs="SourceHanSansCN-Regular"/>
          <w:color w:val="000000"/>
          <w:kern w:val="0"/>
          <w:sz w:val="24"/>
          <w:lang w:bidi="ar"/>
        </w:rPr>
        <w:t>4小时响应、24小时现场解决、故障备件先行</w:t>
      </w:r>
    </w:p>
    <w:p w14:paraId="1F311783">
      <w:pPr>
        <w:widowControl/>
        <w:numPr>
          <w:ilvl w:val="0"/>
          <w:numId w:val="18"/>
        </w:numPr>
        <w:jc w:val="left"/>
      </w:pPr>
      <w:r>
        <w:rPr>
          <w:rFonts w:ascii="SourceHanSansCN-Regular" w:hAnsi="SourceHanSansCN-Regular" w:eastAsia="SourceHanSansCN-Regular" w:cs="SourceHanSansCN-Regular"/>
          <w:color w:val="000000"/>
          <w:kern w:val="0"/>
          <w:sz w:val="24"/>
          <w:lang w:bidi="ar"/>
        </w:rPr>
        <w:t>质保期自</w:t>
      </w:r>
      <w:r>
        <w:rPr>
          <w:rFonts w:ascii="SourceHanSansCN-Bold" w:hAnsi="SourceHanSansCN-Bold" w:eastAsia="SourceHanSansCN-Bold" w:cs="SourceHanSansCN-Bold"/>
          <w:b/>
          <w:bCs/>
          <w:color w:val="000000"/>
          <w:kern w:val="0"/>
          <w:sz w:val="24"/>
          <w:lang w:bidi="ar"/>
        </w:rPr>
        <w:t>项目终验合格之日起计算</w:t>
      </w:r>
      <w:r>
        <w:rPr>
          <w:rFonts w:ascii="SourceHanSansCN-Regular" w:hAnsi="SourceHanSansCN-Regular" w:eastAsia="SourceHanSansCN-Regular" w:cs="SourceHanSansCN-Regular"/>
          <w:color w:val="000000"/>
          <w:kern w:val="0"/>
          <w:sz w:val="24"/>
          <w:lang w:bidi="ar"/>
        </w:rPr>
        <w:t>（不是到货日）</w:t>
      </w:r>
    </w:p>
    <w:p w14:paraId="395FCB44">
      <w:pPr>
        <w:widowControl/>
        <w:numPr>
          <w:ilvl w:val="0"/>
          <w:numId w:val="18"/>
        </w:numPr>
        <w:jc w:val="left"/>
      </w:pPr>
      <w:r>
        <w:rPr>
          <w:rFonts w:ascii="SourceHanSansCN-Regular" w:hAnsi="SourceHanSansCN-Regular" w:eastAsia="SourceHanSansCN-Regular" w:cs="SourceHanSansCN-Regular"/>
          <w:color w:val="000000"/>
          <w:kern w:val="0"/>
          <w:sz w:val="24"/>
          <w:lang w:bidi="ar"/>
        </w:rPr>
        <w:t>包含全套安装、部署、调试、集群调优、业务迁移服务</w:t>
      </w:r>
    </w:p>
    <w:p w14:paraId="2B05BEE7">
      <w:pPr>
        <w:widowControl/>
        <w:numPr>
          <w:ilvl w:val="0"/>
          <w:numId w:val="18"/>
        </w:numPr>
        <w:jc w:val="left"/>
      </w:pPr>
      <w:r>
        <w:rPr>
          <w:rFonts w:ascii="SourceHanSansCN-Regular" w:hAnsi="SourceHanSansCN-Regular" w:eastAsia="SourceHanSansCN-Regular" w:cs="SourceHanSansCN-Regular"/>
          <w:color w:val="000000"/>
          <w:kern w:val="0"/>
          <w:sz w:val="24"/>
          <w:lang w:bidi="ar"/>
        </w:rPr>
        <w:t>提供信息中心运维培训、科室管理员培训、完整纸质+电子运维手册</w:t>
      </w:r>
    </w:p>
    <w:p w14:paraId="16797D89">
      <w:pPr>
        <w:widowControl/>
        <w:numPr>
          <w:ilvl w:val="0"/>
          <w:numId w:val="18"/>
        </w:numPr>
        <w:jc w:val="left"/>
      </w:pPr>
      <w:r>
        <w:rPr>
          <w:rFonts w:ascii="SourceHanSansCN-Regular" w:hAnsi="SourceHanSansCN-Regular" w:eastAsia="SourceHanSansCN-Regular" w:cs="SourceHanSansCN-Regular"/>
          <w:color w:val="000000"/>
          <w:kern w:val="0"/>
          <w:sz w:val="24"/>
          <w:lang w:bidi="ar"/>
        </w:rPr>
        <w:t>质保期内免费版本稳定升级、BUG修复、性能调优</w:t>
      </w:r>
    </w:p>
    <w:p w14:paraId="4DD1AD89">
      <w:pPr>
        <w:widowControl/>
        <w:numPr>
          <w:ilvl w:val="0"/>
          <w:numId w:val="18"/>
        </w:numPr>
        <w:jc w:val="left"/>
      </w:pPr>
      <w:r>
        <w:rPr>
          <w:rFonts w:ascii="SourceHanSansCN-Regular" w:hAnsi="SourceHanSansCN-Regular" w:eastAsia="SourceHanSansCN-Regular" w:cs="SourceHanSansCN-Regular"/>
          <w:color w:val="000000"/>
          <w:kern w:val="0"/>
          <w:sz w:val="24"/>
          <w:lang w:bidi="ar"/>
        </w:rPr>
        <w:t>厂商须具备国产化平台长期技术服务能力，提供信创生态持续适配与升级支持</w:t>
      </w:r>
    </w:p>
    <w:p w14:paraId="7FFB4685">
      <w:pPr>
        <w:widowControl/>
        <w:numPr>
          <w:ilvl w:val="0"/>
          <w:numId w:val="1"/>
        </w:numPr>
        <w:ind w:firstLine="0"/>
        <w:jc w:val="left"/>
        <w:rPr>
          <w:rFonts w:ascii="SourceHanSansCN-Medium" w:hAnsi="SourceHanSansCN-Medium" w:eastAsia="SourceHanSansCN-Medium" w:cs="SourceHanSansCN-Medium"/>
          <w:b/>
          <w:bCs/>
          <w:color w:val="000000"/>
          <w:kern w:val="0"/>
          <w:sz w:val="30"/>
          <w:szCs w:val="30"/>
          <w:lang w:bidi="ar"/>
        </w:rPr>
      </w:pPr>
      <w:r>
        <w:rPr>
          <w:rFonts w:ascii="SourceHanSansCN-Medium" w:hAnsi="SourceHanSansCN-Medium" w:eastAsia="SourceHanSansCN-Medium" w:cs="SourceHanSansCN-Medium"/>
          <w:b/>
          <w:bCs/>
          <w:color w:val="000000"/>
          <w:kern w:val="0"/>
          <w:sz w:val="30"/>
          <w:szCs w:val="30"/>
          <w:lang w:bidi="ar"/>
        </w:rPr>
        <w:t>采购必要性总结</w:t>
      </w:r>
    </w:p>
    <w:p w14:paraId="65CD4FC7">
      <w:pPr>
        <w:widowControl/>
        <w:ind w:firstLine="420"/>
        <w:jc w:val="left"/>
      </w:pPr>
      <w:r>
        <w:rPr>
          <w:rFonts w:ascii="SourceHanSansCN-Regular" w:hAnsi="SourceHanSansCN-Regular" w:eastAsia="SourceHanSansCN-Regular" w:cs="SourceHanSansCN-Regular"/>
          <w:color w:val="000000"/>
          <w:kern w:val="0"/>
          <w:sz w:val="24"/>
          <w:lang w:bidi="ar"/>
        </w:rPr>
        <w:t>本次超融合一体机采购，为我院病理科数字化建设刚需设备，针对数字病理超大影像存储、高并发阅片、数据库稳定运行、医疗数据安全合规建设，解决原有设备性能不足、无冗余、无高可用、数据不安全、无法满足等保的核心痛点。设备架构先进、性能匹配病理业务场景、安全合规达标，能够长期支撑我院病理数字化诊断业务稳定运行，采购合理、必要、合规。</w:t>
      </w:r>
    </w:p>
    <w:p w14:paraId="46DBF0C2">
      <w:pPr>
        <w:widowControl/>
        <w:ind w:firstLine="420"/>
        <w:jc w:val="left"/>
        <w:rPr>
          <w:rFonts w:hint="eastAsia"/>
        </w:rPr>
      </w:pPr>
      <w:r>
        <w:rPr>
          <w:rFonts w:ascii="SourceHanSansCN-Regular" w:hAnsi="SourceHanSansCN-Regular" w:eastAsia="SourceHanSansCN-Regular" w:cs="SourceHanSansCN-Regular"/>
          <w:color w:val="000000"/>
          <w:kern w:val="0"/>
          <w:sz w:val="24"/>
          <w:lang w:bidi="ar"/>
        </w:rPr>
        <w:t>同时，本项目响应国家信息技术应用创新战略和医疗卫生行业国产化替代政策要求，构建全栈自主可控的病理数字化基础设施，从根本上保障医疗核心数据安全与供应链安全，规避关键技术卡脖子风险。设备架构先进、性能匹配业务场景、安全合规达标、国产化路线清晰，采购合理、必要、合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urceHanSansCN-Medium">
    <w:altName w:val="Segoe Print"/>
    <w:panose1 w:val="00000000000000000000"/>
    <w:charset w:val="00"/>
    <w:family w:val="auto"/>
    <w:pitch w:val="default"/>
    <w:sig w:usb0="00000000" w:usb1="00000000" w:usb2="00000000" w:usb3="00000000" w:csb0="00000000" w:csb1="00000000"/>
  </w:font>
  <w:font w:name="华文细黑">
    <w:panose1 w:val="02010600040101010101"/>
    <w:charset w:val="86"/>
    <w:family w:val="auto"/>
    <w:pitch w:val="default"/>
    <w:sig w:usb0="00000287" w:usb1="080F0000" w:usb2="00000000" w:usb3="00000000" w:csb0="0004009F" w:csb1="DFD70000"/>
  </w:font>
  <w:font w:name="SourceHanSansCN-Regular">
    <w:altName w:val="Segoe Print"/>
    <w:panose1 w:val="00000000000000000000"/>
    <w:charset w:val="00"/>
    <w:family w:val="auto"/>
    <w:pitch w:val="default"/>
    <w:sig w:usb0="00000000" w:usb1="00000000" w:usb2="00000000" w:usb3="00000000" w:csb0="00000000" w:csb1="00000000"/>
  </w:font>
  <w:font w:name="SourceHanSansCN-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F5FFC"/>
    <w:multiLevelType w:val="singleLevel"/>
    <w:tmpl w:val="9FFF5FFC"/>
    <w:lvl w:ilvl="0" w:tentative="0">
      <w:start w:val="1"/>
      <w:numFmt w:val="decimal"/>
      <w:lvlText w:val="%1."/>
      <w:lvlJc w:val="left"/>
      <w:pPr>
        <w:ind w:left="425" w:hanging="425"/>
      </w:pPr>
      <w:rPr>
        <w:rFonts w:hint="default"/>
        <w:sz w:val="24"/>
        <w:szCs w:val="24"/>
      </w:rPr>
    </w:lvl>
  </w:abstractNum>
  <w:abstractNum w:abstractNumId="1">
    <w:nsid w:val="B3FA4B25"/>
    <w:multiLevelType w:val="singleLevel"/>
    <w:tmpl w:val="B3FA4B25"/>
    <w:lvl w:ilvl="0" w:tentative="0">
      <w:start w:val="1"/>
      <w:numFmt w:val="chineseCounting"/>
      <w:suff w:val="nothing"/>
      <w:lvlText w:val="%1、"/>
      <w:lvlJc w:val="left"/>
      <w:pPr>
        <w:ind w:left="0" w:firstLine="420"/>
      </w:pPr>
      <w:rPr>
        <w:rFonts w:hint="eastAsia" w:ascii="华文细黑" w:hAnsi="华文细黑" w:eastAsia="华文细黑" w:cs="华文细黑"/>
        <w:b/>
        <w:bCs/>
        <w:sz w:val="30"/>
        <w:szCs w:val="30"/>
      </w:rPr>
    </w:lvl>
  </w:abstractNum>
  <w:abstractNum w:abstractNumId="2">
    <w:nsid w:val="BFEFDE4D"/>
    <w:multiLevelType w:val="singleLevel"/>
    <w:tmpl w:val="BFEFDE4D"/>
    <w:lvl w:ilvl="0" w:tentative="0">
      <w:start w:val="1"/>
      <w:numFmt w:val="decimal"/>
      <w:lvlText w:val="%1."/>
      <w:lvlJc w:val="left"/>
      <w:pPr>
        <w:tabs>
          <w:tab w:val="left" w:pos="312"/>
        </w:tabs>
      </w:pPr>
      <w:rPr>
        <w:rFonts w:hint="default" w:ascii="华文细黑" w:hAnsi="华文细黑" w:eastAsia="华文细黑" w:cs="华文细黑"/>
        <w:sz w:val="24"/>
        <w:szCs w:val="24"/>
      </w:rPr>
    </w:lvl>
  </w:abstractNum>
  <w:abstractNum w:abstractNumId="3">
    <w:nsid w:val="C6FD3B7D"/>
    <w:multiLevelType w:val="singleLevel"/>
    <w:tmpl w:val="C6FD3B7D"/>
    <w:lvl w:ilvl="0" w:tentative="0">
      <w:start w:val="1"/>
      <w:numFmt w:val="decimal"/>
      <w:lvlText w:val="%1."/>
      <w:lvlJc w:val="left"/>
      <w:pPr>
        <w:ind w:left="425" w:hanging="425"/>
      </w:pPr>
      <w:rPr>
        <w:rFonts w:hint="default"/>
        <w:sz w:val="24"/>
        <w:szCs w:val="24"/>
      </w:rPr>
    </w:lvl>
  </w:abstractNum>
  <w:abstractNum w:abstractNumId="4">
    <w:nsid w:val="CA7EFEEA"/>
    <w:multiLevelType w:val="singleLevel"/>
    <w:tmpl w:val="CA7EFEEA"/>
    <w:lvl w:ilvl="0" w:tentative="0">
      <w:start w:val="1"/>
      <w:numFmt w:val="decimal"/>
      <w:lvlText w:val="%1."/>
      <w:lvlJc w:val="left"/>
      <w:pPr>
        <w:ind w:left="425" w:hanging="425"/>
      </w:pPr>
      <w:rPr>
        <w:rFonts w:hint="default"/>
        <w:sz w:val="24"/>
        <w:szCs w:val="24"/>
      </w:rPr>
    </w:lvl>
  </w:abstractNum>
  <w:abstractNum w:abstractNumId="5">
    <w:nsid w:val="DFBD2A8D"/>
    <w:multiLevelType w:val="singleLevel"/>
    <w:tmpl w:val="DFBD2A8D"/>
    <w:lvl w:ilvl="0" w:tentative="0">
      <w:start w:val="1"/>
      <w:numFmt w:val="decimal"/>
      <w:lvlText w:val="%1."/>
      <w:lvlJc w:val="left"/>
      <w:pPr>
        <w:ind w:left="425" w:hanging="425"/>
      </w:pPr>
      <w:rPr>
        <w:rFonts w:hint="default"/>
        <w:sz w:val="24"/>
        <w:szCs w:val="24"/>
      </w:rPr>
    </w:lvl>
  </w:abstractNum>
  <w:abstractNum w:abstractNumId="6">
    <w:nsid w:val="DFCADA1B"/>
    <w:multiLevelType w:val="singleLevel"/>
    <w:tmpl w:val="DFCADA1B"/>
    <w:lvl w:ilvl="0" w:tentative="0">
      <w:start w:val="1"/>
      <w:numFmt w:val="decimal"/>
      <w:lvlText w:val="%1."/>
      <w:lvlJc w:val="left"/>
      <w:pPr>
        <w:ind w:left="425" w:hanging="425"/>
      </w:pPr>
      <w:rPr>
        <w:rFonts w:hint="default"/>
        <w:sz w:val="24"/>
        <w:szCs w:val="24"/>
      </w:rPr>
    </w:lvl>
  </w:abstractNum>
  <w:abstractNum w:abstractNumId="7">
    <w:nsid w:val="DFEB0E0E"/>
    <w:multiLevelType w:val="singleLevel"/>
    <w:tmpl w:val="DFEB0E0E"/>
    <w:lvl w:ilvl="0" w:tentative="0">
      <w:start w:val="1"/>
      <w:numFmt w:val="decimal"/>
      <w:lvlText w:val="%1."/>
      <w:lvlJc w:val="left"/>
      <w:pPr>
        <w:ind w:left="425" w:hanging="425"/>
      </w:pPr>
      <w:rPr>
        <w:rFonts w:hint="default"/>
      </w:rPr>
    </w:lvl>
  </w:abstractNum>
  <w:abstractNum w:abstractNumId="8">
    <w:nsid w:val="FC64AB9C"/>
    <w:multiLevelType w:val="singleLevel"/>
    <w:tmpl w:val="FC64AB9C"/>
    <w:lvl w:ilvl="0" w:tentative="0">
      <w:start w:val="1"/>
      <w:numFmt w:val="decimal"/>
      <w:lvlText w:val="%1."/>
      <w:lvlJc w:val="left"/>
      <w:pPr>
        <w:ind w:left="425" w:hanging="425"/>
      </w:pPr>
      <w:rPr>
        <w:rFonts w:hint="default"/>
        <w:sz w:val="24"/>
        <w:szCs w:val="24"/>
      </w:rPr>
    </w:lvl>
  </w:abstractNum>
  <w:abstractNum w:abstractNumId="9">
    <w:nsid w:val="FDDE0E88"/>
    <w:multiLevelType w:val="singleLevel"/>
    <w:tmpl w:val="FDDE0E88"/>
    <w:lvl w:ilvl="0" w:tentative="0">
      <w:start w:val="1"/>
      <w:numFmt w:val="chineseCounting"/>
      <w:suff w:val="nothing"/>
      <w:lvlText w:val="（%1）"/>
      <w:lvlJc w:val="left"/>
      <w:pPr>
        <w:ind w:left="0" w:firstLine="420"/>
      </w:pPr>
      <w:rPr>
        <w:rFonts w:hint="eastAsia" w:ascii="华文细黑" w:hAnsi="华文细黑" w:eastAsia="华文细黑" w:cs="华文细黑"/>
        <w:sz w:val="24"/>
        <w:szCs w:val="24"/>
      </w:rPr>
    </w:lvl>
  </w:abstractNum>
  <w:abstractNum w:abstractNumId="10">
    <w:nsid w:val="FDFC6507"/>
    <w:multiLevelType w:val="singleLevel"/>
    <w:tmpl w:val="FDFC6507"/>
    <w:lvl w:ilvl="0" w:tentative="0">
      <w:start w:val="1"/>
      <w:numFmt w:val="chineseCounting"/>
      <w:suff w:val="nothing"/>
      <w:lvlText w:val="（%1）"/>
      <w:lvlJc w:val="left"/>
      <w:pPr>
        <w:ind w:left="0" w:firstLine="420"/>
      </w:pPr>
      <w:rPr>
        <w:rFonts w:hint="eastAsia" w:ascii="华文细黑" w:hAnsi="华文细黑" w:eastAsia="华文细黑" w:cs="华文细黑"/>
        <w:sz w:val="24"/>
        <w:szCs w:val="24"/>
      </w:rPr>
    </w:lvl>
  </w:abstractNum>
  <w:abstractNum w:abstractNumId="11">
    <w:nsid w:val="FF9FCFC7"/>
    <w:multiLevelType w:val="singleLevel"/>
    <w:tmpl w:val="FF9FCFC7"/>
    <w:lvl w:ilvl="0" w:tentative="0">
      <w:start w:val="1"/>
      <w:numFmt w:val="decimal"/>
      <w:lvlText w:val="%1."/>
      <w:lvlJc w:val="left"/>
      <w:pPr>
        <w:ind w:left="425" w:hanging="425"/>
      </w:pPr>
      <w:rPr>
        <w:rFonts w:hint="default"/>
        <w:sz w:val="24"/>
        <w:szCs w:val="24"/>
      </w:rPr>
    </w:lvl>
  </w:abstractNum>
  <w:abstractNum w:abstractNumId="12">
    <w:nsid w:val="3FF8C35D"/>
    <w:multiLevelType w:val="singleLevel"/>
    <w:tmpl w:val="3FF8C35D"/>
    <w:lvl w:ilvl="0" w:tentative="0">
      <w:start w:val="1"/>
      <w:numFmt w:val="decimal"/>
      <w:lvlText w:val="%1."/>
      <w:lvlJc w:val="left"/>
      <w:pPr>
        <w:ind w:left="425" w:hanging="425"/>
      </w:pPr>
      <w:rPr>
        <w:rFonts w:hint="default"/>
        <w:sz w:val="24"/>
        <w:szCs w:val="24"/>
      </w:rPr>
    </w:lvl>
  </w:abstractNum>
  <w:abstractNum w:abstractNumId="13">
    <w:nsid w:val="57AF81B8"/>
    <w:multiLevelType w:val="singleLevel"/>
    <w:tmpl w:val="57AF81B8"/>
    <w:lvl w:ilvl="0" w:tentative="0">
      <w:start w:val="1"/>
      <w:numFmt w:val="decimal"/>
      <w:lvlText w:val="%1."/>
      <w:lvlJc w:val="left"/>
      <w:pPr>
        <w:ind w:left="425" w:hanging="425"/>
      </w:pPr>
      <w:rPr>
        <w:rFonts w:hint="default"/>
        <w:sz w:val="24"/>
        <w:szCs w:val="24"/>
      </w:rPr>
    </w:lvl>
  </w:abstractNum>
  <w:abstractNum w:abstractNumId="14">
    <w:nsid w:val="6FBA2726"/>
    <w:multiLevelType w:val="singleLevel"/>
    <w:tmpl w:val="6FBA2726"/>
    <w:lvl w:ilvl="0" w:tentative="0">
      <w:start w:val="1"/>
      <w:numFmt w:val="decimal"/>
      <w:lvlText w:val="%1."/>
      <w:lvlJc w:val="left"/>
      <w:pPr>
        <w:ind w:left="425" w:hanging="425"/>
      </w:pPr>
      <w:rPr>
        <w:rFonts w:hint="default"/>
      </w:rPr>
    </w:lvl>
  </w:abstractNum>
  <w:abstractNum w:abstractNumId="15">
    <w:nsid w:val="7B036719"/>
    <w:multiLevelType w:val="multilevel"/>
    <w:tmpl w:val="7B036719"/>
    <w:lvl w:ilvl="0" w:tentative="0">
      <w:start w:val="1"/>
      <w:numFmt w:val="decimal"/>
      <w:lvlText w:val="%1."/>
      <w:lvlJc w:val="left"/>
      <w:pPr>
        <w:ind w:left="360" w:hanging="360"/>
      </w:pPr>
      <w:rPr>
        <w:rFonts w:hint="default" w:ascii="SourceHanSansCN-Regular" w:hAnsi="SourceHanSansCN-Regular" w:cs="SourceHanSansCN-Regular"/>
        <w:color w:val="000000"/>
        <w:sz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7EFEF953"/>
    <w:multiLevelType w:val="singleLevel"/>
    <w:tmpl w:val="7EFEF953"/>
    <w:lvl w:ilvl="0" w:tentative="0">
      <w:start w:val="1"/>
      <w:numFmt w:val="decimal"/>
      <w:lvlText w:val="%1."/>
      <w:lvlJc w:val="left"/>
      <w:pPr>
        <w:ind w:left="425" w:hanging="425"/>
      </w:pPr>
      <w:rPr>
        <w:rFonts w:hint="default"/>
        <w:sz w:val="24"/>
        <w:szCs w:val="24"/>
      </w:rPr>
    </w:lvl>
  </w:abstractNum>
  <w:abstractNum w:abstractNumId="17">
    <w:nsid w:val="7F950952"/>
    <w:multiLevelType w:val="singleLevel"/>
    <w:tmpl w:val="7F950952"/>
    <w:lvl w:ilvl="0" w:tentative="0">
      <w:start w:val="1"/>
      <w:numFmt w:val="decimal"/>
      <w:lvlText w:val="%1."/>
      <w:lvlJc w:val="left"/>
      <w:pPr>
        <w:ind w:left="425" w:hanging="425"/>
      </w:pPr>
      <w:rPr>
        <w:rFonts w:hint="default"/>
        <w:sz w:val="24"/>
        <w:szCs w:val="24"/>
      </w:rPr>
    </w:lvl>
  </w:abstractNum>
  <w:num w:numId="1">
    <w:abstractNumId w:val="1"/>
  </w:num>
  <w:num w:numId="2">
    <w:abstractNumId w:val="14"/>
  </w:num>
  <w:num w:numId="3">
    <w:abstractNumId w:val="2"/>
  </w:num>
  <w:num w:numId="4">
    <w:abstractNumId w:val="10"/>
  </w:num>
  <w:num w:numId="5">
    <w:abstractNumId w:val="12"/>
  </w:num>
  <w:num w:numId="6">
    <w:abstractNumId w:val="5"/>
  </w:num>
  <w:num w:numId="7">
    <w:abstractNumId w:val="7"/>
  </w:num>
  <w:num w:numId="8">
    <w:abstractNumId w:val="9"/>
  </w:num>
  <w:num w:numId="9">
    <w:abstractNumId w:val="6"/>
  </w:num>
  <w:num w:numId="10">
    <w:abstractNumId w:val="0"/>
  </w:num>
  <w:num w:numId="11">
    <w:abstractNumId w:val="11"/>
  </w:num>
  <w:num w:numId="12">
    <w:abstractNumId w:val="3"/>
  </w:num>
  <w:num w:numId="13">
    <w:abstractNumId w:val="4"/>
  </w:num>
  <w:num w:numId="14">
    <w:abstractNumId w:val="15"/>
  </w:num>
  <w:num w:numId="15">
    <w:abstractNumId w:val="16"/>
  </w:num>
  <w:num w:numId="16">
    <w:abstractNumId w:val="13"/>
  </w:num>
  <w:num w:numId="17">
    <w:abstractNumId w:val="8"/>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5ZjRmMmYzNmM3MzliMzE5NzQ0MzM2MzAyMjRlNWUifQ=="/>
  </w:docVars>
  <w:rsids>
    <w:rsidRoot w:val="00B51D3F"/>
    <w:rsid w:val="00007C07"/>
    <w:rsid w:val="00072F66"/>
    <w:rsid w:val="002F0D4A"/>
    <w:rsid w:val="003F4C72"/>
    <w:rsid w:val="004C5A93"/>
    <w:rsid w:val="00885374"/>
    <w:rsid w:val="00B51D3F"/>
    <w:rsid w:val="00E01FB7"/>
    <w:rsid w:val="00E46564"/>
    <w:rsid w:val="00ED3682"/>
    <w:rsid w:val="2FF66A9B"/>
    <w:rsid w:val="53592207"/>
    <w:rsid w:val="5FE5BD0B"/>
    <w:rsid w:val="6F7B058F"/>
    <w:rsid w:val="783C7D0B"/>
    <w:rsid w:val="7DDF5E5D"/>
    <w:rsid w:val="97BF61A1"/>
    <w:rsid w:val="F2FF9D95"/>
    <w:rsid w:val="F7BBD0EB"/>
    <w:rsid w:val="FEF333B6"/>
    <w:rsid w:val="FFDF2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2538</Words>
  <Characters>2688</Characters>
  <Lines>61</Lines>
  <Paragraphs>84</Paragraphs>
  <TotalTime>8</TotalTime>
  <ScaleCrop>false</ScaleCrop>
  <LinksUpToDate>false</LinksUpToDate>
  <CharactersWithSpaces>2696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2026-09-15T16:30:00Z</dcterms:created>
  <dc:creator>Administrator</dc:creator>
  <cp:lastModifiedBy>蓝灵</cp:lastModifiedBy>
  <dcterms:modified xsi:type="dcterms:W3CDTF">2026-09-17T06:45:42Z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7864172A1A532B30F858AB6A2A25D3CD_43</vt:lpwstr>
  </property>
</Properties>
</file>