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06E30">
      <w:pPr>
        <w:jc w:val="center"/>
        <w:rPr>
          <w:b/>
          <w:sz w:val="32"/>
          <w:szCs w:val="32"/>
        </w:rPr>
      </w:pPr>
      <w:r>
        <w:rPr>
          <w:rFonts w:hint="eastAsia"/>
          <w:b/>
          <w:sz w:val="32"/>
          <w:szCs w:val="32"/>
        </w:rPr>
        <w:t>云南省第一人民医院合理用药系统药品不良反应监测模块建设项目</w:t>
      </w:r>
      <w:bookmarkStart w:id="0" w:name="_GoBack"/>
      <w:bookmarkEnd w:id="0"/>
      <w:r>
        <w:rPr>
          <w:rFonts w:hint="eastAsia"/>
          <w:b/>
          <w:sz w:val="32"/>
          <w:szCs w:val="32"/>
        </w:rPr>
        <w:t>采购需求</w:t>
      </w:r>
    </w:p>
    <w:p w14:paraId="539D03E8"/>
    <w:p w14:paraId="5C1D8C38">
      <w:pPr>
        <w:ind w:firstLine="560" w:firstLineChars="200"/>
        <w:rPr>
          <w:rFonts w:asciiTheme="minorEastAsia" w:hAnsiTheme="minorEastAsia"/>
          <w:sz w:val="28"/>
          <w:szCs w:val="28"/>
        </w:rPr>
      </w:pPr>
      <w:r>
        <w:rPr>
          <w:rFonts w:hint="eastAsia" w:asciiTheme="minorEastAsia" w:hAnsiTheme="minorEastAsia"/>
          <w:sz w:val="28"/>
          <w:szCs w:val="28"/>
        </w:rPr>
        <w:t>采购需求应当完整、明确，包括以下内容：（一）采购标的需实现的功能或者目标，以及为落实政府采购政策需满足的要求；（二）采购标的需执行的国家相关标准、行业标准、地方标准或者其他标准、规范；（三）采购标的需满足的质量、安全、技术规格、物理特性等要求；（四）采购标的的数量、采购项目交付或者实施的时间和地点；（五）采购标的需满足的服务标准、期限、效率等要求；（六）采购标的的验收标准；（七）采购标的的其他技术、服务等要求。</w:t>
      </w:r>
    </w:p>
    <w:p w14:paraId="2F55EFA0">
      <w:pPr>
        <w:ind w:firstLine="560" w:firstLineChars="200"/>
        <w:rPr>
          <w:rFonts w:asciiTheme="minorEastAsia" w:hAnsiTheme="minorEastAsia"/>
          <w:sz w:val="28"/>
          <w:szCs w:val="28"/>
        </w:rPr>
      </w:pPr>
      <w:r>
        <w:rPr>
          <w:rFonts w:hint="eastAsia" w:asciiTheme="minorEastAsia" w:hAnsiTheme="minorEastAsia"/>
          <w:sz w:val="28"/>
          <w:szCs w:val="28"/>
        </w:rPr>
        <w:t>（一) 采购标的需实现的功能或者目标，以及为落实政府采购政策需满足的要求</w:t>
      </w:r>
    </w:p>
    <w:p w14:paraId="3C153CC1">
      <w:pPr>
        <w:rPr>
          <w:rFonts w:asciiTheme="minorEastAsia" w:hAnsiTheme="minorEastAsia"/>
          <w:sz w:val="28"/>
          <w:szCs w:val="28"/>
        </w:rPr>
      </w:pPr>
      <w:r>
        <w:rPr>
          <w:rFonts w:hint="eastAsia" w:asciiTheme="minorEastAsia" w:hAnsiTheme="minorEastAsia"/>
          <w:sz w:val="28"/>
          <w:szCs w:val="28"/>
        </w:rPr>
        <w:t>1.建设目标</w:t>
      </w:r>
    </w:p>
    <w:p w14:paraId="54FFFB4A">
      <w:pPr>
        <w:ind w:firstLine="560" w:firstLineChars="200"/>
        <w:rPr>
          <w:rFonts w:asciiTheme="minorEastAsia" w:hAnsiTheme="minorEastAsia"/>
          <w:sz w:val="28"/>
          <w:szCs w:val="28"/>
        </w:rPr>
      </w:pPr>
      <w:r>
        <w:rPr>
          <w:rFonts w:hint="eastAsia" w:asciiTheme="minorEastAsia" w:hAnsiTheme="minorEastAsia"/>
          <w:sz w:val="28"/>
          <w:szCs w:val="28"/>
        </w:rPr>
        <w:t>依托院内现有合理用药系统，新增一体化药品不良反应（ADR）监测上报模块，实现临床不良反应自动抓取、智能判别、分级审核、快速准确完成国家不良反应监测平台上报工作、补齐我院药物警戒信息化短板，保障患者用药安全，满足医院等级评审、国家药物警戒监管硬性要求。</w:t>
      </w:r>
    </w:p>
    <w:p w14:paraId="300AFE01">
      <w:pPr>
        <w:rPr>
          <w:rFonts w:asciiTheme="minorEastAsia" w:hAnsiTheme="minorEastAsia"/>
          <w:sz w:val="28"/>
          <w:szCs w:val="28"/>
        </w:rPr>
      </w:pPr>
      <w:r>
        <w:rPr>
          <w:rFonts w:hint="eastAsia" w:asciiTheme="minorEastAsia" w:hAnsiTheme="minorEastAsia"/>
          <w:sz w:val="28"/>
          <w:szCs w:val="28"/>
        </w:rPr>
        <w:t>2.建设规模</w:t>
      </w:r>
    </w:p>
    <w:p w14:paraId="665080A5">
      <w:pPr>
        <w:ind w:firstLine="560" w:firstLineChars="200"/>
        <w:rPr>
          <w:rFonts w:asciiTheme="minorEastAsia" w:hAnsiTheme="minorEastAsia"/>
          <w:sz w:val="28"/>
          <w:szCs w:val="28"/>
        </w:rPr>
      </w:pPr>
      <w:r>
        <w:rPr>
          <w:rFonts w:hint="eastAsia" w:asciiTheme="minorEastAsia" w:hAnsiTheme="minorEastAsia"/>
          <w:sz w:val="28"/>
          <w:szCs w:val="28"/>
        </w:rPr>
        <w:t>覆盖全院临床科室、门诊药房、住院药房、药学部、医务质控科，数据同步至医院数据中心，为医院药学管理持续改进、临床用药科研、医疗质量考核提供数据支撑，提升医院合理用药管理的精细化、数字化水平。</w:t>
      </w:r>
    </w:p>
    <w:p w14:paraId="5B058E25">
      <w:pPr>
        <w:rPr>
          <w:rFonts w:asciiTheme="minorEastAsia" w:hAnsiTheme="minorEastAsia"/>
          <w:sz w:val="28"/>
          <w:szCs w:val="28"/>
        </w:rPr>
      </w:pPr>
      <w:r>
        <w:rPr>
          <w:rFonts w:hint="eastAsia" w:asciiTheme="minorEastAsia" w:hAnsiTheme="minorEastAsia"/>
          <w:sz w:val="28"/>
          <w:szCs w:val="28"/>
        </w:rPr>
        <w:t>3.建设内容</w:t>
      </w:r>
    </w:p>
    <w:p w14:paraId="5625792C">
      <w:pPr>
        <w:ind w:firstLine="560" w:firstLineChars="200"/>
        <w:rPr>
          <w:rFonts w:asciiTheme="minorEastAsia" w:hAnsiTheme="minorEastAsia"/>
          <w:sz w:val="28"/>
          <w:szCs w:val="28"/>
        </w:rPr>
      </w:pPr>
      <w:r>
        <w:rPr>
          <w:rFonts w:hint="eastAsia" w:asciiTheme="minorEastAsia" w:hAnsiTheme="minorEastAsia"/>
          <w:sz w:val="28"/>
          <w:szCs w:val="28"/>
        </w:rPr>
        <w:t>药品不良反应智能监测系统（ADR）：ADR智能监测、跟踪，报告管理，统计分析。</w:t>
      </w:r>
    </w:p>
    <w:p w14:paraId="47DCDFC5">
      <w:pPr>
        <w:rPr>
          <w:rFonts w:asciiTheme="minorEastAsia" w:hAnsiTheme="minorEastAsia"/>
          <w:sz w:val="28"/>
          <w:szCs w:val="28"/>
        </w:rPr>
      </w:pPr>
      <w:r>
        <w:rPr>
          <w:rFonts w:hint="eastAsia" w:asciiTheme="minorEastAsia" w:hAnsiTheme="minorEastAsia"/>
          <w:sz w:val="28"/>
          <w:szCs w:val="28"/>
        </w:rPr>
        <w:t xml:space="preserve">（二）采购标的需执行的国家相关标准、行业标准、地方标准或者其他标准、规范； </w:t>
      </w:r>
    </w:p>
    <w:p w14:paraId="798ADFEF">
      <w:pPr>
        <w:rPr>
          <w:rFonts w:asciiTheme="minorEastAsia" w:hAnsiTheme="minorEastAsia"/>
          <w:sz w:val="28"/>
          <w:szCs w:val="28"/>
        </w:rPr>
      </w:pPr>
      <w:r>
        <w:rPr>
          <w:rFonts w:hint="eastAsia" w:asciiTheme="minorEastAsia" w:hAnsiTheme="minorEastAsia"/>
          <w:sz w:val="28"/>
          <w:szCs w:val="28"/>
        </w:rPr>
        <w:t>1.国家法规政策</w:t>
      </w:r>
    </w:p>
    <w:p w14:paraId="522A2D8D">
      <w:pPr>
        <w:rPr>
          <w:rFonts w:asciiTheme="minorEastAsia" w:hAnsiTheme="minorEastAsia"/>
          <w:sz w:val="28"/>
          <w:szCs w:val="28"/>
        </w:rPr>
      </w:pPr>
      <w:r>
        <w:rPr>
          <w:rFonts w:hint="eastAsia" w:asciiTheme="minorEastAsia" w:hAnsiTheme="minorEastAsia"/>
          <w:sz w:val="28"/>
          <w:szCs w:val="28"/>
        </w:rPr>
        <w:t>《中华人民共和国药品管理法》《药品不良反应报告和监测管理办法》</w:t>
      </w:r>
    </w:p>
    <w:p w14:paraId="65A89EA0">
      <w:pPr>
        <w:rPr>
          <w:rFonts w:asciiTheme="minorEastAsia" w:hAnsiTheme="minorEastAsia"/>
          <w:sz w:val="28"/>
          <w:szCs w:val="28"/>
        </w:rPr>
      </w:pPr>
      <w:r>
        <w:rPr>
          <w:rFonts w:hint="eastAsia" w:asciiTheme="minorEastAsia" w:hAnsiTheme="minorEastAsia"/>
          <w:sz w:val="28"/>
          <w:szCs w:val="28"/>
        </w:rPr>
        <w:t>2.行业标准</w:t>
      </w:r>
    </w:p>
    <w:p w14:paraId="1D00416E">
      <w:pPr>
        <w:rPr>
          <w:rFonts w:asciiTheme="minorEastAsia" w:hAnsiTheme="minorEastAsia"/>
          <w:sz w:val="28"/>
          <w:szCs w:val="28"/>
        </w:rPr>
      </w:pPr>
      <w:r>
        <w:rPr>
          <w:rFonts w:hint="eastAsia" w:asciiTheme="minorEastAsia" w:hAnsiTheme="minorEastAsia"/>
          <w:sz w:val="28"/>
          <w:szCs w:val="28"/>
        </w:rPr>
        <w:t>《三级综合医院评审标准实施细则》、《医疗机构处方审核规范》、《全国药品不良反应监测工作规范》。</w:t>
      </w:r>
    </w:p>
    <w:p w14:paraId="2819EFB6">
      <w:pPr>
        <w:rPr>
          <w:rFonts w:asciiTheme="minorEastAsia" w:hAnsiTheme="minorEastAsia"/>
          <w:sz w:val="28"/>
          <w:szCs w:val="28"/>
        </w:rPr>
      </w:pPr>
      <w:r>
        <w:rPr>
          <w:rFonts w:hint="eastAsia" w:asciiTheme="minorEastAsia" w:hAnsiTheme="minorEastAsia"/>
          <w:sz w:val="28"/>
          <w:szCs w:val="28"/>
        </w:rPr>
        <w:t xml:space="preserve">（三）采购标的需满足的质量、安全、技术规格、物理特性等要求； </w:t>
      </w:r>
    </w:p>
    <w:p w14:paraId="1C20CE90">
      <w:pPr>
        <w:rPr>
          <w:rFonts w:asciiTheme="minorEastAsia" w:hAnsiTheme="minorEastAsia"/>
          <w:sz w:val="28"/>
          <w:szCs w:val="28"/>
        </w:rPr>
      </w:pPr>
      <w:r>
        <w:rPr>
          <w:rFonts w:hint="eastAsia" w:asciiTheme="minorEastAsia" w:hAnsiTheme="minorEastAsia"/>
          <w:sz w:val="28"/>
          <w:szCs w:val="28"/>
        </w:rPr>
        <w:t>1、总体功能需求</w:t>
      </w:r>
    </w:p>
    <w:p w14:paraId="540C1180">
      <w:pPr>
        <w:rPr>
          <w:rFonts w:asciiTheme="minorEastAsia" w:hAnsiTheme="minorEastAsia"/>
          <w:sz w:val="28"/>
          <w:szCs w:val="28"/>
        </w:rPr>
      </w:pPr>
      <w:r>
        <w:rPr>
          <w:rFonts w:hint="eastAsia" w:asciiTheme="minorEastAsia" w:hAnsiTheme="minorEastAsia"/>
          <w:sz w:val="28"/>
          <w:szCs w:val="28"/>
        </w:rPr>
        <w:t>主要功能需求如下：</w:t>
      </w:r>
    </w:p>
    <w:p w14:paraId="1CDDA396">
      <w:pPr>
        <w:rPr>
          <w:rFonts w:asciiTheme="minorEastAsia" w:hAnsiTheme="minorEastAsia"/>
          <w:sz w:val="28"/>
          <w:szCs w:val="28"/>
        </w:rPr>
      </w:pPr>
      <w:r>
        <w:rPr>
          <w:rFonts w:hint="eastAsia" w:asciiTheme="minorEastAsia" w:hAnsiTheme="minorEastAsia"/>
          <w:sz w:val="28"/>
          <w:szCs w:val="28"/>
        </w:rPr>
        <w:t>（1）HIS数据库的数据采集：数据采集接口将病人相关信息采集到本项目系统数据库。</w:t>
      </w:r>
    </w:p>
    <w:p w14:paraId="64345455">
      <w:pPr>
        <w:rPr>
          <w:rFonts w:asciiTheme="minorEastAsia" w:hAnsiTheme="minorEastAsia"/>
          <w:sz w:val="28"/>
          <w:szCs w:val="28"/>
        </w:rPr>
      </w:pPr>
      <w:r>
        <w:rPr>
          <w:rFonts w:hint="eastAsia" w:asciiTheme="minorEastAsia" w:hAnsiTheme="minorEastAsia"/>
          <w:sz w:val="28"/>
          <w:szCs w:val="28"/>
        </w:rPr>
        <w:t>（2）病例监测分析：以规则为核心，以患者为分析对象，从患者检验结果信息和（或）患者医嘱信息中挖掘有效信息，实现药品不良反应疑似病例的智能化筛查。</w:t>
      </w:r>
    </w:p>
    <w:p w14:paraId="310A1117">
      <w:pPr>
        <w:rPr>
          <w:rFonts w:asciiTheme="minorEastAsia" w:hAnsiTheme="minorEastAsia"/>
          <w:sz w:val="28"/>
          <w:szCs w:val="28"/>
        </w:rPr>
      </w:pPr>
      <w:r>
        <w:rPr>
          <w:rFonts w:hint="eastAsia" w:asciiTheme="minorEastAsia" w:hAnsiTheme="minorEastAsia"/>
          <w:sz w:val="28"/>
          <w:szCs w:val="28"/>
        </w:rPr>
        <w:t>（3）事件监测分析：以规则为核心，主动监测按不良反应事件监测类型包括：肝功能异常、肾功能异常、过敏样反应、血小板减少、贫血、…等进行分析审核。</w:t>
      </w:r>
    </w:p>
    <w:p w14:paraId="79F10DEE">
      <w:pPr>
        <w:rPr>
          <w:rFonts w:asciiTheme="minorEastAsia" w:hAnsiTheme="minorEastAsia"/>
          <w:sz w:val="28"/>
          <w:szCs w:val="28"/>
        </w:rPr>
      </w:pPr>
      <w:r>
        <w:rPr>
          <w:rFonts w:hint="eastAsia" w:asciiTheme="minorEastAsia" w:hAnsiTheme="minorEastAsia"/>
          <w:sz w:val="28"/>
          <w:szCs w:val="28"/>
        </w:rPr>
        <w:t>（4）报告管理：最大化的实现报告内容的自动化处理，减轻填报人员录入工作量；由专人负责评价、上报。包括报告录入、修改、评价。</w:t>
      </w:r>
    </w:p>
    <w:p w14:paraId="1D827173">
      <w:pPr>
        <w:rPr>
          <w:rFonts w:asciiTheme="minorEastAsia" w:hAnsiTheme="minorEastAsia"/>
          <w:sz w:val="28"/>
          <w:szCs w:val="28"/>
        </w:rPr>
      </w:pPr>
      <w:r>
        <w:rPr>
          <w:rFonts w:hint="eastAsia" w:asciiTheme="minorEastAsia" w:hAnsiTheme="minorEastAsia"/>
          <w:sz w:val="28"/>
          <w:szCs w:val="28"/>
        </w:rPr>
        <w:t>（5）报告查询及统计分析、监测预警功能。</w:t>
      </w:r>
    </w:p>
    <w:p w14:paraId="0C9374BD">
      <w:pPr>
        <w:rPr>
          <w:rFonts w:asciiTheme="minorEastAsia" w:hAnsiTheme="minorEastAsia"/>
          <w:sz w:val="28"/>
          <w:szCs w:val="28"/>
        </w:rPr>
      </w:pPr>
      <w:r>
        <w:rPr>
          <w:rFonts w:hint="eastAsia" w:asciiTheme="minorEastAsia" w:hAnsiTheme="minorEastAsia"/>
          <w:sz w:val="28"/>
          <w:szCs w:val="28"/>
        </w:rPr>
        <w:t>（6）将药品安全性报告及时上报至国家不良反应监测中心数据库。</w:t>
      </w:r>
    </w:p>
    <w:p w14:paraId="01841A64">
      <w:pPr>
        <w:rPr>
          <w:rFonts w:asciiTheme="minorEastAsia" w:hAnsiTheme="minorEastAsia"/>
          <w:sz w:val="28"/>
          <w:szCs w:val="28"/>
        </w:rPr>
      </w:pPr>
      <w:r>
        <w:rPr>
          <w:rFonts w:hint="eastAsia" w:asciiTheme="minorEastAsia" w:hAnsiTheme="minorEastAsia"/>
          <w:sz w:val="28"/>
          <w:szCs w:val="28"/>
        </w:rPr>
        <w:t>（7）标准基础数据及时更新功能（如药品通用名、ADR表现名称、疾病名称等）。</w:t>
      </w:r>
    </w:p>
    <w:p w14:paraId="7F21DA4B">
      <w:pPr>
        <w:rPr>
          <w:rFonts w:asciiTheme="minorEastAsia" w:hAnsiTheme="minorEastAsia"/>
          <w:sz w:val="28"/>
          <w:szCs w:val="28"/>
        </w:rPr>
      </w:pPr>
      <w:r>
        <w:rPr>
          <w:rFonts w:hint="eastAsia" w:asciiTheme="minorEastAsia" w:hAnsiTheme="minorEastAsia"/>
          <w:sz w:val="28"/>
          <w:szCs w:val="28"/>
        </w:rPr>
        <w:t>（8）相关辅助：公告管理、信息查询等。</w:t>
      </w:r>
    </w:p>
    <w:p w14:paraId="7C34D148">
      <w:pPr>
        <w:rPr>
          <w:rFonts w:asciiTheme="minorEastAsia" w:hAnsiTheme="minorEastAsia"/>
          <w:sz w:val="28"/>
          <w:szCs w:val="28"/>
        </w:rPr>
      </w:pPr>
      <w:r>
        <w:rPr>
          <w:rFonts w:hint="eastAsia" w:asciiTheme="minorEastAsia" w:hAnsiTheme="minorEastAsia"/>
          <w:sz w:val="28"/>
          <w:szCs w:val="28"/>
        </w:rPr>
        <w:t>2、接口需求</w:t>
      </w:r>
    </w:p>
    <w:p w14:paraId="24C1E105">
      <w:pPr>
        <w:ind w:firstLine="560" w:firstLineChars="200"/>
        <w:rPr>
          <w:rFonts w:asciiTheme="minorEastAsia" w:hAnsiTheme="minorEastAsia"/>
          <w:sz w:val="28"/>
          <w:szCs w:val="28"/>
        </w:rPr>
      </w:pPr>
      <w:r>
        <w:rPr>
          <w:rFonts w:hint="eastAsia" w:asciiTheme="minorEastAsia" w:hAnsiTheme="minorEastAsia"/>
          <w:sz w:val="28"/>
          <w:szCs w:val="28"/>
        </w:rPr>
        <w:t>本项目系统可实现与HIS、LIS、PACS、EMR等系统标准数据接口，从中提取病人、医嘱、检验等信息数据，提供的处方点评、抗菌药物临床应用监测等功能相结合，提供对处方医嘱的自动审查和评价功能，并将审查和评价的结果进行量化处理，从而对医院临床工作中的不规范处方和不合理用药情况进行统计和分析。</w:t>
      </w:r>
    </w:p>
    <w:p w14:paraId="75C03058">
      <w:pPr>
        <w:rPr>
          <w:rFonts w:asciiTheme="minorEastAsia" w:hAnsiTheme="minorEastAsia"/>
          <w:sz w:val="28"/>
          <w:szCs w:val="28"/>
        </w:rPr>
      </w:pPr>
      <w:r>
        <w:rPr>
          <w:rFonts w:hint="eastAsia" w:asciiTheme="minorEastAsia" w:hAnsiTheme="minorEastAsia"/>
          <w:sz w:val="28"/>
          <w:szCs w:val="28"/>
        </w:rPr>
        <w:t>3、系统性能需求</w:t>
      </w:r>
    </w:p>
    <w:p w14:paraId="255FFA43">
      <w:pPr>
        <w:ind w:firstLine="560" w:firstLineChars="200"/>
        <w:rPr>
          <w:rFonts w:asciiTheme="minorEastAsia" w:hAnsiTheme="minorEastAsia"/>
          <w:sz w:val="28"/>
          <w:szCs w:val="28"/>
        </w:rPr>
      </w:pPr>
      <w:r>
        <w:rPr>
          <w:rFonts w:hint="eastAsia" w:asciiTheme="minorEastAsia" w:hAnsiTheme="minorEastAsia"/>
          <w:sz w:val="28"/>
          <w:szCs w:val="28"/>
        </w:rPr>
        <w:t>系统需满足快速的响应速度、准确的信息查询结果、友好的界面显示、高效运行的性能需求。</w:t>
      </w:r>
    </w:p>
    <w:p w14:paraId="36EFF3F1">
      <w:pPr>
        <w:rPr>
          <w:rFonts w:asciiTheme="minorEastAsia" w:hAnsiTheme="minorEastAsia"/>
          <w:sz w:val="28"/>
          <w:szCs w:val="28"/>
        </w:rPr>
      </w:pPr>
      <w:r>
        <w:rPr>
          <w:rFonts w:hint="eastAsia" w:asciiTheme="minorEastAsia" w:hAnsiTheme="minorEastAsia"/>
          <w:sz w:val="28"/>
          <w:szCs w:val="28"/>
        </w:rPr>
        <w:t>4、应用安全需求</w:t>
      </w:r>
    </w:p>
    <w:p w14:paraId="28EA60AB">
      <w:pPr>
        <w:ind w:firstLine="560" w:firstLineChars="200"/>
        <w:rPr>
          <w:rFonts w:asciiTheme="minorEastAsia" w:hAnsiTheme="minorEastAsia"/>
          <w:sz w:val="28"/>
          <w:szCs w:val="28"/>
        </w:rPr>
      </w:pPr>
      <w:r>
        <w:rPr>
          <w:rFonts w:hint="eastAsia" w:asciiTheme="minorEastAsia" w:hAnsiTheme="minorEastAsia"/>
          <w:sz w:val="28"/>
          <w:szCs w:val="28"/>
        </w:rPr>
        <w:t>根据《信息系统安全等级保护》原则，应从物理安全、网络安全、主机安全、数据安全等方面保障软件应用安全。</w:t>
      </w:r>
    </w:p>
    <w:p w14:paraId="2871975B">
      <w:pPr>
        <w:rPr>
          <w:rFonts w:asciiTheme="minorEastAsia" w:hAnsiTheme="minorEastAsia"/>
          <w:sz w:val="28"/>
          <w:szCs w:val="28"/>
        </w:rPr>
      </w:pPr>
      <w:r>
        <w:rPr>
          <w:rFonts w:hint="eastAsia" w:asciiTheme="minorEastAsia" w:hAnsiTheme="minorEastAsia"/>
          <w:sz w:val="28"/>
          <w:szCs w:val="28"/>
        </w:rPr>
        <w:t>本项目系统需提供以下方面安全保障：</w:t>
      </w:r>
    </w:p>
    <w:p w14:paraId="6A54C832">
      <w:pPr>
        <w:rPr>
          <w:rFonts w:asciiTheme="minorEastAsia" w:hAnsiTheme="minorEastAsia"/>
          <w:sz w:val="28"/>
          <w:szCs w:val="28"/>
        </w:rPr>
      </w:pPr>
      <w:r>
        <w:rPr>
          <w:rFonts w:hint="eastAsia" w:asciiTheme="minorEastAsia" w:hAnsiTheme="minorEastAsia"/>
          <w:sz w:val="28"/>
          <w:szCs w:val="28"/>
        </w:rPr>
        <w:t>（1）身份鉴别</w:t>
      </w:r>
    </w:p>
    <w:p w14:paraId="018C3872">
      <w:pPr>
        <w:ind w:firstLine="560" w:firstLineChars="200"/>
        <w:rPr>
          <w:rFonts w:asciiTheme="minorEastAsia" w:hAnsiTheme="minorEastAsia"/>
          <w:sz w:val="28"/>
          <w:szCs w:val="28"/>
        </w:rPr>
      </w:pPr>
      <w:r>
        <w:rPr>
          <w:rFonts w:hint="eastAsia" w:asciiTheme="minorEastAsia" w:hAnsiTheme="minorEastAsia"/>
          <w:sz w:val="28"/>
          <w:szCs w:val="28"/>
        </w:rPr>
        <w:t>包括专用的登录控制模块、登录失败处理功能、用户身份标识唯一和鉴别信息复杂度检查功能等。</w:t>
      </w:r>
    </w:p>
    <w:p w14:paraId="1E3BCCD7">
      <w:pPr>
        <w:rPr>
          <w:rFonts w:asciiTheme="minorEastAsia" w:hAnsiTheme="minorEastAsia"/>
          <w:sz w:val="28"/>
          <w:szCs w:val="28"/>
        </w:rPr>
      </w:pPr>
      <w:r>
        <w:rPr>
          <w:rFonts w:hint="eastAsia" w:asciiTheme="minorEastAsia" w:hAnsiTheme="minorEastAsia"/>
          <w:sz w:val="28"/>
          <w:szCs w:val="28"/>
        </w:rPr>
        <w:t>（2）访问控制</w:t>
      </w:r>
    </w:p>
    <w:p w14:paraId="34F84198">
      <w:pPr>
        <w:ind w:firstLine="560" w:firstLineChars="200"/>
        <w:rPr>
          <w:rFonts w:asciiTheme="minorEastAsia" w:hAnsiTheme="minorEastAsia"/>
          <w:sz w:val="28"/>
          <w:szCs w:val="28"/>
        </w:rPr>
      </w:pPr>
      <w:r>
        <w:rPr>
          <w:rFonts w:hint="eastAsia" w:asciiTheme="minorEastAsia" w:hAnsiTheme="minorEastAsia"/>
          <w:sz w:val="28"/>
          <w:szCs w:val="28"/>
        </w:rPr>
        <w:t>包括采取安全策略控制用户对数据的访问权限、严格限制默认帐户的访问权限、严格控制用户对有敏感标记重要信息资源的操作等。</w:t>
      </w:r>
    </w:p>
    <w:p w14:paraId="5C807EED">
      <w:pPr>
        <w:rPr>
          <w:rFonts w:asciiTheme="minorEastAsia" w:hAnsiTheme="minorEastAsia"/>
          <w:sz w:val="28"/>
          <w:szCs w:val="28"/>
        </w:rPr>
      </w:pPr>
      <w:r>
        <w:rPr>
          <w:rFonts w:hint="eastAsia" w:asciiTheme="minorEastAsia" w:hAnsiTheme="minorEastAsia"/>
          <w:sz w:val="28"/>
          <w:szCs w:val="28"/>
        </w:rPr>
        <w:t>（3）安全审计</w:t>
      </w:r>
    </w:p>
    <w:p w14:paraId="7313B8CF">
      <w:pPr>
        <w:ind w:firstLine="560" w:firstLineChars="200"/>
        <w:rPr>
          <w:rFonts w:asciiTheme="minorEastAsia" w:hAnsiTheme="minorEastAsia"/>
          <w:sz w:val="28"/>
          <w:szCs w:val="28"/>
        </w:rPr>
      </w:pPr>
      <w:r>
        <w:rPr>
          <w:rFonts w:hint="eastAsia" w:asciiTheme="minorEastAsia" w:hAnsiTheme="minorEastAsia"/>
          <w:sz w:val="28"/>
          <w:szCs w:val="28"/>
        </w:rPr>
        <w:t>包括对应用系统重要安全事件进行审计、无法删除修改或覆盖审计记录、审计记录的内容至少应包括事件的日期、时间、发起者信息、类型、描述和结果等</w:t>
      </w:r>
    </w:p>
    <w:p w14:paraId="6C4F4224">
      <w:pPr>
        <w:rPr>
          <w:rFonts w:asciiTheme="minorEastAsia" w:hAnsiTheme="minorEastAsia"/>
          <w:sz w:val="28"/>
          <w:szCs w:val="28"/>
        </w:rPr>
      </w:pPr>
      <w:r>
        <w:rPr>
          <w:rFonts w:hint="eastAsia" w:asciiTheme="minorEastAsia" w:hAnsiTheme="minorEastAsia"/>
          <w:sz w:val="28"/>
          <w:szCs w:val="28"/>
        </w:rPr>
        <w:t>（4）通信完整性及保密性</w:t>
      </w:r>
    </w:p>
    <w:p w14:paraId="48F0DC0D">
      <w:pPr>
        <w:ind w:firstLine="560" w:firstLineChars="200"/>
        <w:rPr>
          <w:rFonts w:asciiTheme="minorEastAsia" w:hAnsiTheme="minorEastAsia"/>
          <w:sz w:val="28"/>
          <w:szCs w:val="28"/>
        </w:rPr>
      </w:pPr>
      <w:r>
        <w:rPr>
          <w:rFonts w:hint="eastAsia" w:asciiTheme="minorEastAsia" w:hAnsiTheme="minorEastAsia"/>
          <w:sz w:val="28"/>
          <w:szCs w:val="28"/>
        </w:rPr>
        <w:t>对重点信息的传输，比如登录过程中，利用密码技术进行会话初始化验证、对通信过程中的整个报文或会话过程进行加密。</w:t>
      </w:r>
    </w:p>
    <w:p w14:paraId="1FD4ACC2">
      <w:pPr>
        <w:rPr>
          <w:rFonts w:asciiTheme="minorEastAsia" w:hAnsiTheme="minorEastAsia"/>
          <w:sz w:val="28"/>
          <w:szCs w:val="28"/>
        </w:rPr>
      </w:pPr>
      <w:r>
        <w:rPr>
          <w:rFonts w:hint="eastAsia" w:asciiTheme="minorEastAsia" w:hAnsiTheme="minorEastAsia"/>
          <w:sz w:val="28"/>
          <w:szCs w:val="28"/>
        </w:rPr>
        <w:t>（5）软件容错</w:t>
      </w:r>
    </w:p>
    <w:p w14:paraId="61CB4D8E">
      <w:pPr>
        <w:ind w:firstLine="560" w:firstLineChars="200"/>
        <w:rPr>
          <w:rFonts w:asciiTheme="minorEastAsia" w:hAnsiTheme="minorEastAsia"/>
          <w:sz w:val="28"/>
          <w:szCs w:val="28"/>
        </w:rPr>
      </w:pPr>
      <w:r>
        <w:rPr>
          <w:rFonts w:hint="eastAsia" w:asciiTheme="minorEastAsia" w:hAnsiTheme="minorEastAsia"/>
          <w:sz w:val="28"/>
          <w:szCs w:val="28"/>
        </w:rPr>
        <w:t>提供数据有效性检验功能，保证通过人机接口输入或通过通信接口输入的数据格式或长度符合系统设定要求。</w:t>
      </w:r>
    </w:p>
    <w:p w14:paraId="248460E7">
      <w:pPr>
        <w:rPr>
          <w:rFonts w:asciiTheme="minorEastAsia" w:hAnsiTheme="minorEastAsia"/>
          <w:sz w:val="28"/>
          <w:szCs w:val="28"/>
        </w:rPr>
      </w:pPr>
      <w:r>
        <w:rPr>
          <w:rFonts w:hint="eastAsia" w:asciiTheme="minorEastAsia" w:hAnsiTheme="minorEastAsia"/>
          <w:sz w:val="28"/>
          <w:szCs w:val="28"/>
        </w:rPr>
        <w:t>（6）资源控制</w:t>
      </w:r>
    </w:p>
    <w:p w14:paraId="2B656DDF">
      <w:pPr>
        <w:ind w:firstLine="560" w:firstLineChars="200"/>
        <w:rPr>
          <w:rFonts w:asciiTheme="minorEastAsia" w:hAnsiTheme="minorEastAsia"/>
          <w:sz w:val="28"/>
          <w:szCs w:val="28"/>
        </w:rPr>
      </w:pPr>
      <w:r>
        <w:rPr>
          <w:rFonts w:hint="eastAsia" w:asciiTheme="minorEastAsia" w:hAnsiTheme="minorEastAsia"/>
          <w:sz w:val="28"/>
          <w:szCs w:val="28"/>
        </w:rPr>
        <w:t>包括对系统的最大并发会话连接数进行限制、对单个帐户的多重并发会话进行限制、一个时间段内可能的并发会话连接数进行限制等。</w:t>
      </w:r>
    </w:p>
    <w:p w14:paraId="7882ED6F">
      <w:pPr>
        <w:rPr>
          <w:rFonts w:asciiTheme="minorEastAsia" w:hAnsiTheme="minorEastAsia"/>
          <w:sz w:val="28"/>
          <w:szCs w:val="28"/>
        </w:rPr>
      </w:pPr>
      <w:r>
        <w:rPr>
          <w:rFonts w:hint="eastAsia" w:asciiTheme="minorEastAsia" w:hAnsiTheme="minorEastAsia"/>
          <w:sz w:val="28"/>
          <w:szCs w:val="28"/>
        </w:rPr>
        <w:t>（7）防渗透攻击</w:t>
      </w:r>
    </w:p>
    <w:p w14:paraId="139529FD">
      <w:pPr>
        <w:ind w:firstLine="560" w:firstLineChars="200"/>
        <w:rPr>
          <w:rFonts w:asciiTheme="minorEastAsia" w:hAnsiTheme="minorEastAsia"/>
          <w:sz w:val="28"/>
          <w:szCs w:val="28"/>
        </w:rPr>
      </w:pPr>
      <w:r>
        <w:rPr>
          <w:rFonts w:hint="eastAsia" w:asciiTheme="minorEastAsia" w:hAnsiTheme="minorEastAsia"/>
          <w:sz w:val="28"/>
          <w:szCs w:val="28"/>
        </w:rPr>
        <w:t>包括防止SQL注入、跨站请求伪造、跨站点脚本攻击、未经验证的重定向、不安全的加密存储、身份验证失效等常见的渗透攻击手段。</w:t>
      </w:r>
    </w:p>
    <w:p w14:paraId="7AEE7460">
      <w:pPr>
        <w:rPr>
          <w:rFonts w:asciiTheme="minorEastAsia" w:hAnsiTheme="minorEastAsia"/>
          <w:sz w:val="28"/>
          <w:szCs w:val="28"/>
        </w:rPr>
      </w:pPr>
      <w:r>
        <w:rPr>
          <w:rFonts w:hint="eastAsia" w:asciiTheme="minorEastAsia" w:hAnsiTheme="minorEastAsia"/>
          <w:sz w:val="28"/>
          <w:szCs w:val="28"/>
        </w:rPr>
        <w:t>（8）灵活性及扩展性</w:t>
      </w:r>
    </w:p>
    <w:p w14:paraId="0DDC4700">
      <w:pPr>
        <w:ind w:firstLine="560" w:firstLineChars="200"/>
        <w:rPr>
          <w:rFonts w:asciiTheme="minorEastAsia" w:hAnsiTheme="minorEastAsia"/>
          <w:sz w:val="28"/>
          <w:szCs w:val="28"/>
        </w:rPr>
      </w:pPr>
      <w:r>
        <w:rPr>
          <w:rFonts w:hint="eastAsia" w:asciiTheme="minorEastAsia" w:hAnsiTheme="minorEastAsia"/>
          <w:sz w:val="28"/>
          <w:szCs w:val="28"/>
        </w:rPr>
        <w:t>满足产品不断发展的需要，产品功能的设计与实现采用组件和插件技术，保证产品的热配置能力，实现产品架构灵活性需求、扩展性需求、功能扩展性需求、展示扩展性需求、以及数据扩展性等需求。</w:t>
      </w:r>
    </w:p>
    <w:p w14:paraId="51FE0647">
      <w:pPr>
        <w:rPr>
          <w:rFonts w:asciiTheme="minorEastAsia" w:hAnsiTheme="minorEastAsia"/>
          <w:sz w:val="28"/>
          <w:szCs w:val="28"/>
        </w:rPr>
      </w:pPr>
      <w:r>
        <w:rPr>
          <w:rFonts w:hint="eastAsia" w:asciiTheme="minorEastAsia" w:hAnsiTheme="minorEastAsia"/>
          <w:sz w:val="28"/>
          <w:szCs w:val="28"/>
        </w:rPr>
        <w:t>（9）容错设计</w:t>
      </w:r>
    </w:p>
    <w:p w14:paraId="42410ADA">
      <w:pPr>
        <w:ind w:firstLine="560" w:firstLineChars="200"/>
        <w:rPr>
          <w:rFonts w:asciiTheme="minorEastAsia" w:hAnsiTheme="minorEastAsia"/>
          <w:sz w:val="28"/>
          <w:szCs w:val="28"/>
        </w:rPr>
      </w:pPr>
      <w:r>
        <w:rPr>
          <w:rFonts w:hint="eastAsia" w:asciiTheme="minorEastAsia" w:hAnsiTheme="minorEastAsia"/>
          <w:sz w:val="28"/>
          <w:szCs w:val="28"/>
        </w:rPr>
        <w:t>在本项目系统设计中必须考虑软件容错处理能力。</w:t>
      </w:r>
    </w:p>
    <w:p w14:paraId="56EEF467">
      <w:pPr>
        <w:rPr>
          <w:rFonts w:asciiTheme="minorEastAsia" w:hAnsiTheme="minorEastAsia"/>
          <w:sz w:val="28"/>
          <w:szCs w:val="28"/>
        </w:rPr>
      </w:pPr>
      <w:r>
        <w:rPr>
          <w:rFonts w:hint="eastAsia" w:asciiTheme="minorEastAsia" w:hAnsiTheme="minorEastAsia"/>
          <w:sz w:val="28"/>
          <w:szCs w:val="28"/>
        </w:rPr>
        <w:t xml:space="preserve">（四）采购标的的数量、采购项目交付或者实施的时间和地点； </w:t>
      </w:r>
    </w:p>
    <w:p w14:paraId="7A4B383F">
      <w:pPr>
        <w:rPr>
          <w:rFonts w:asciiTheme="minorEastAsia" w:hAnsiTheme="minorEastAsia"/>
          <w:sz w:val="28"/>
          <w:szCs w:val="28"/>
        </w:rPr>
      </w:pPr>
      <w:r>
        <w:rPr>
          <w:rFonts w:hint="eastAsia" w:asciiTheme="minorEastAsia" w:hAnsiTheme="minorEastAsia"/>
          <w:sz w:val="28"/>
          <w:szCs w:val="28"/>
        </w:rPr>
        <w:t>建设类项目；交货地点：云南省第一人民医院用户指定地点。</w:t>
      </w:r>
    </w:p>
    <w:p w14:paraId="4D14FF4E">
      <w:pPr>
        <w:rPr>
          <w:rFonts w:asciiTheme="minorEastAsia" w:hAnsiTheme="minorEastAsia"/>
          <w:sz w:val="28"/>
          <w:szCs w:val="28"/>
        </w:rPr>
      </w:pPr>
      <w:r>
        <w:rPr>
          <w:rFonts w:hint="eastAsia" w:asciiTheme="minorEastAsia" w:hAnsiTheme="minorEastAsia"/>
          <w:sz w:val="28"/>
          <w:szCs w:val="28"/>
        </w:rPr>
        <w:t xml:space="preserve">（五）采购标的需满足的服务标准、期限、效率等要求； </w:t>
      </w:r>
    </w:p>
    <w:p w14:paraId="3972580B">
      <w:pPr>
        <w:ind w:firstLine="560" w:firstLineChars="200"/>
        <w:rPr>
          <w:rFonts w:asciiTheme="minorEastAsia" w:hAnsiTheme="minorEastAsia"/>
          <w:sz w:val="28"/>
          <w:szCs w:val="28"/>
        </w:rPr>
      </w:pPr>
      <w:r>
        <w:rPr>
          <w:rFonts w:hint="eastAsia" w:asciiTheme="minorEastAsia" w:hAnsiTheme="minorEastAsia"/>
          <w:sz w:val="28"/>
          <w:szCs w:val="28"/>
        </w:rPr>
        <w:t>中标人须提供相应运维服务，自合同签订之日起，完成本项目相关的调研、运维服务。免费提供操作及维护培训（需提供具体培训内容），按医院要求完成服务。</w:t>
      </w:r>
    </w:p>
    <w:p w14:paraId="1C61A141">
      <w:pPr>
        <w:pStyle w:val="7"/>
        <w:numPr>
          <w:ilvl w:val="0"/>
          <w:numId w:val="1"/>
        </w:numPr>
        <w:ind w:firstLineChars="0"/>
        <w:rPr>
          <w:rFonts w:asciiTheme="minorEastAsia" w:hAnsiTheme="minorEastAsia"/>
          <w:sz w:val="28"/>
          <w:szCs w:val="28"/>
        </w:rPr>
      </w:pPr>
      <w:r>
        <w:rPr>
          <w:rFonts w:hint="eastAsia" w:asciiTheme="minorEastAsia" w:hAnsiTheme="minorEastAsia"/>
          <w:sz w:val="28"/>
          <w:szCs w:val="28"/>
        </w:rPr>
        <w:t>资质要求</w:t>
      </w:r>
    </w:p>
    <w:p w14:paraId="13691C28">
      <w:pPr>
        <w:pStyle w:val="4"/>
        <w:shd w:val="clear" w:color="auto" w:fill="FFFFFF"/>
        <w:spacing w:before="0" w:beforeAutospacing="0" w:after="0" w:afterAutospacing="0"/>
        <w:ind w:left="360"/>
        <w:rPr>
          <w:rFonts w:asciiTheme="minorEastAsia" w:hAnsiTheme="minorEastAsia" w:eastAsiaTheme="minorEastAsia"/>
          <w:color w:val="151515"/>
          <w:sz w:val="28"/>
          <w:szCs w:val="28"/>
        </w:rPr>
      </w:pPr>
      <w:r>
        <w:rPr>
          <w:rFonts w:hint="eastAsia" w:asciiTheme="minorEastAsia" w:hAnsiTheme="minorEastAsia" w:eastAsiaTheme="minorEastAsia"/>
          <w:color w:val="151515"/>
          <w:sz w:val="28"/>
          <w:szCs w:val="28"/>
        </w:rPr>
        <w:t>（1）满足《中华人民共和国政府采购法》第二十二条规定；</w:t>
      </w:r>
    </w:p>
    <w:p w14:paraId="706999C1">
      <w:pPr>
        <w:pStyle w:val="4"/>
        <w:shd w:val="clear" w:color="auto" w:fill="FFFFFF"/>
        <w:spacing w:before="0" w:beforeAutospacing="0" w:after="0" w:afterAutospacing="0"/>
        <w:ind w:left="360"/>
        <w:rPr>
          <w:rFonts w:hint="eastAsia" w:asciiTheme="minorEastAsia" w:hAnsiTheme="minorEastAsia" w:eastAsiaTheme="minorEastAsia"/>
          <w:color w:val="151515"/>
          <w:sz w:val="28"/>
          <w:szCs w:val="28"/>
        </w:rPr>
      </w:pPr>
      <w:r>
        <w:rPr>
          <w:rFonts w:hint="eastAsia" w:asciiTheme="minorEastAsia" w:hAnsiTheme="minorEastAsia" w:eastAsiaTheme="minorEastAsia"/>
          <w:color w:val="151515"/>
          <w:sz w:val="28"/>
          <w:szCs w:val="28"/>
        </w:rPr>
        <w:t>（2）本项目的特定资格要求：</w:t>
      </w:r>
    </w:p>
    <w:p w14:paraId="530077E0">
      <w:pPr>
        <w:pStyle w:val="4"/>
        <w:shd w:val="clear" w:color="auto" w:fill="FFFFFF"/>
        <w:spacing w:before="0" w:beforeAutospacing="0" w:after="0" w:afterAutospacing="0"/>
        <w:ind w:left="360"/>
        <w:rPr>
          <w:rFonts w:hint="eastAsia" w:asciiTheme="minorEastAsia" w:hAnsiTheme="minorEastAsia" w:eastAsiaTheme="minorEastAsia"/>
          <w:color w:val="151515"/>
          <w:sz w:val="28"/>
          <w:szCs w:val="28"/>
        </w:rPr>
      </w:pPr>
      <w:r>
        <w:rPr>
          <w:rFonts w:hint="eastAsia" w:asciiTheme="minorEastAsia" w:hAnsiTheme="minorEastAsia" w:eastAsiaTheme="minorEastAsia"/>
          <w:color w:val="151515"/>
          <w:sz w:val="18"/>
          <w:szCs w:val="18"/>
        </w:rPr>
        <w:t>●</w:t>
      </w:r>
      <w:r>
        <w:rPr>
          <w:rFonts w:hint="eastAsia" w:asciiTheme="minorEastAsia" w:hAnsiTheme="minorEastAsia" w:eastAsiaTheme="minorEastAsia"/>
          <w:color w:val="151515"/>
          <w:sz w:val="28"/>
          <w:szCs w:val="28"/>
        </w:rPr>
        <w:t>在中国境内注册，具有营业执照，具备服务能力的供应商；</w:t>
      </w:r>
    </w:p>
    <w:p w14:paraId="6CFBC644">
      <w:pPr>
        <w:pStyle w:val="4"/>
        <w:shd w:val="clear" w:color="auto" w:fill="FFFFFF"/>
        <w:spacing w:before="0" w:beforeAutospacing="0" w:after="0" w:afterAutospacing="0"/>
        <w:ind w:left="360"/>
        <w:rPr>
          <w:rFonts w:hint="eastAsia" w:asciiTheme="minorEastAsia" w:hAnsiTheme="minorEastAsia" w:eastAsiaTheme="minorEastAsia"/>
          <w:color w:val="151515"/>
          <w:sz w:val="28"/>
          <w:szCs w:val="28"/>
        </w:rPr>
      </w:pPr>
      <w:r>
        <w:rPr>
          <w:rFonts w:hint="eastAsia" w:asciiTheme="minorEastAsia" w:hAnsiTheme="minorEastAsia" w:eastAsiaTheme="minorEastAsia"/>
          <w:color w:val="151515"/>
          <w:sz w:val="18"/>
          <w:szCs w:val="18"/>
        </w:rPr>
        <w:t>●</w:t>
      </w:r>
      <w:r>
        <w:rPr>
          <w:rFonts w:hint="eastAsia" w:asciiTheme="minorEastAsia" w:hAnsiTheme="minorEastAsia" w:eastAsiaTheme="minorEastAsia"/>
          <w:color w:val="151515"/>
          <w:sz w:val="28"/>
          <w:szCs w:val="28"/>
        </w:rPr>
        <w:t>开标之日起前三年内无不良信用记录（在评审时通过“信用中国”网站、“中国政府采购网”网站查询）；</w:t>
      </w:r>
    </w:p>
    <w:p w14:paraId="68F7786A">
      <w:pPr>
        <w:pStyle w:val="4"/>
        <w:shd w:val="clear" w:color="auto" w:fill="FFFFFF"/>
        <w:spacing w:before="0" w:beforeAutospacing="0" w:after="0" w:afterAutospacing="0"/>
        <w:ind w:left="360"/>
        <w:rPr>
          <w:rFonts w:hint="eastAsia" w:asciiTheme="minorEastAsia" w:hAnsiTheme="minorEastAsia" w:eastAsiaTheme="minorEastAsia"/>
          <w:color w:val="151515"/>
          <w:sz w:val="28"/>
          <w:szCs w:val="28"/>
        </w:rPr>
      </w:pPr>
      <w:r>
        <w:rPr>
          <w:rFonts w:hint="eastAsia" w:asciiTheme="minorEastAsia" w:hAnsiTheme="minorEastAsia" w:eastAsiaTheme="minorEastAsia"/>
          <w:color w:val="151515"/>
          <w:sz w:val="18"/>
          <w:szCs w:val="18"/>
        </w:rPr>
        <w:t>●</w:t>
      </w:r>
      <w:r>
        <w:rPr>
          <w:rFonts w:hint="eastAsia" w:asciiTheme="minorEastAsia" w:hAnsiTheme="minorEastAsia" w:eastAsiaTheme="minorEastAsia"/>
          <w:color w:val="151515"/>
          <w:sz w:val="28"/>
          <w:szCs w:val="28"/>
        </w:rPr>
        <w:t>参加政府采购活动前三年内，在经营活动中没有重大违法记录；（重大违法记录是指供应商因违法经营受到刑事处罚或者责令停产停业、吊销许可证或者执照、较大数额罚款（“较大数额罚款”认定为 200 万元以上的罚款，法律、行政法规以及国务院有关部门明确规定相关领域“较大数额罚款”标准高于200万元的，从其规定）等行政处罚）；</w:t>
      </w:r>
    </w:p>
    <w:p w14:paraId="1E327AF9">
      <w:pPr>
        <w:pStyle w:val="4"/>
        <w:shd w:val="clear" w:color="auto" w:fill="FFFFFF"/>
        <w:spacing w:before="0" w:beforeAutospacing="0" w:after="0" w:afterAutospacing="0"/>
        <w:ind w:left="360"/>
        <w:rPr>
          <w:rFonts w:ascii="微软雅黑" w:hAnsi="微软雅黑" w:eastAsia="微软雅黑"/>
          <w:color w:val="151515"/>
          <w:sz w:val="18"/>
          <w:szCs w:val="18"/>
        </w:rPr>
      </w:pPr>
      <w:r>
        <w:rPr>
          <w:rFonts w:hint="eastAsia" w:asciiTheme="minorEastAsia" w:hAnsiTheme="minorEastAsia" w:eastAsiaTheme="minorEastAsia"/>
          <w:color w:val="151515"/>
          <w:sz w:val="18"/>
          <w:szCs w:val="18"/>
        </w:rPr>
        <w:t>●</w:t>
      </w:r>
      <w:r>
        <w:rPr>
          <w:rFonts w:hint="eastAsia" w:asciiTheme="minorEastAsia" w:hAnsiTheme="minorEastAsia" w:eastAsiaTheme="minorEastAsia"/>
          <w:color w:val="151515"/>
          <w:sz w:val="28"/>
          <w:szCs w:val="28"/>
        </w:rPr>
        <w:t>本项目不接受联合体报价</w:t>
      </w:r>
    </w:p>
    <w:p w14:paraId="19B8C6AD">
      <w:pPr>
        <w:rPr>
          <w:rFonts w:asciiTheme="minorEastAsia" w:hAnsiTheme="minorEastAsia"/>
          <w:sz w:val="28"/>
          <w:szCs w:val="28"/>
        </w:rPr>
      </w:pPr>
      <w:r>
        <w:rPr>
          <w:rFonts w:hint="eastAsia" w:asciiTheme="minorEastAsia" w:hAnsiTheme="minorEastAsia"/>
          <w:sz w:val="28"/>
          <w:szCs w:val="28"/>
        </w:rPr>
        <w:t>2.服务响应效率</w:t>
      </w:r>
    </w:p>
    <w:p w14:paraId="68116662">
      <w:pPr>
        <w:ind w:firstLine="420" w:firstLineChars="150"/>
        <w:rPr>
          <w:rFonts w:asciiTheme="minorEastAsia" w:hAnsiTheme="minorEastAsia"/>
          <w:sz w:val="28"/>
          <w:szCs w:val="28"/>
        </w:rPr>
      </w:pPr>
      <w:r>
        <w:rPr>
          <w:rFonts w:hint="eastAsia" w:asciiTheme="minorEastAsia" w:hAnsiTheme="minorEastAsia"/>
          <w:sz w:val="28"/>
          <w:szCs w:val="28"/>
        </w:rPr>
        <w:t>在使用过程中，可以提供完善的售后服务。可通过电话、专属工程师手机或微信等方式，反馈问题和需求，收到反馈后，有专属工程师进行受理，并全程负责问题的跟进解决，同时提供技术或政策支持。问题处理期间专属工程师及时沟通反馈处理进度。</w:t>
      </w:r>
    </w:p>
    <w:p w14:paraId="1D10D992">
      <w:pPr>
        <w:pStyle w:val="7"/>
        <w:numPr>
          <w:ilvl w:val="0"/>
          <w:numId w:val="2"/>
        </w:numPr>
        <w:ind w:firstLineChars="0"/>
        <w:rPr>
          <w:rFonts w:asciiTheme="minorEastAsia" w:hAnsiTheme="minorEastAsia"/>
          <w:sz w:val="28"/>
          <w:szCs w:val="28"/>
        </w:rPr>
      </w:pPr>
      <w:r>
        <w:rPr>
          <w:rFonts w:hint="eastAsia" w:asciiTheme="minorEastAsia" w:hAnsiTheme="minorEastAsia"/>
          <w:sz w:val="28"/>
          <w:szCs w:val="28"/>
        </w:rPr>
        <w:t>服务的受理、响应、解决时间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2425"/>
        <w:gridCol w:w="2067"/>
        <w:gridCol w:w="2265"/>
      </w:tblGrid>
      <w:tr w14:paraId="6928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Borders>
              <w:top w:val="single" w:color="auto" w:sz="4" w:space="0"/>
              <w:left w:val="single" w:color="auto" w:sz="4" w:space="0"/>
              <w:bottom w:val="single" w:color="auto" w:sz="4" w:space="0"/>
              <w:right w:val="single" w:color="auto" w:sz="4" w:space="0"/>
            </w:tcBorders>
            <w:shd w:val="clear" w:color="auto" w:fill="D9D9D9"/>
            <w:vAlign w:val="center"/>
          </w:tcPr>
          <w:p w14:paraId="1578B33F">
            <w:pPr>
              <w:pStyle w:val="8"/>
              <w:rPr>
                <w:b/>
              </w:rPr>
            </w:pPr>
            <w:r>
              <w:rPr>
                <w:rFonts w:hint="eastAsia"/>
              </w:rPr>
              <w:t>受理级别</w:t>
            </w:r>
          </w:p>
        </w:tc>
        <w:tc>
          <w:tcPr>
            <w:tcW w:w="2425" w:type="dxa"/>
            <w:tcBorders>
              <w:top w:val="single" w:color="auto" w:sz="4" w:space="0"/>
              <w:left w:val="single" w:color="auto" w:sz="4" w:space="0"/>
              <w:bottom w:val="single" w:color="auto" w:sz="4" w:space="0"/>
              <w:right w:val="single" w:color="auto" w:sz="4" w:space="0"/>
            </w:tcBorders>
            <w:shd w:val="clear" w:color="auto" w:fill="D9D9D9"/>
            <w:vAlign w:val="center"/>
          </w:tcPr>
          <w:p w14:paraId="35AB6040">
            <w:pPr>
              <w:pStyle w:val="8"/>
              <w:rPr>
                <w:b/>
              </w:rPr>
            </w:pPr>
            <w:r>
              <w:rPr>
                <w:rFonts w:hint="eastAsia"/>
              </w:rPr>
              <w:t>受理时间</w:t>
            </w:r>
          </w:p>
        </w:tc>
        <w:tc>
          <w:tcPr>
            <w:tcW w:w="2067" w:type="dxa"/>
            <w:tcBorders>
              <w:top w:val="single" w:color="auto" w:sz="4" w:space="0"/>
              <w:left w:val="single" w:color="auto" w:sz="4" w:space="0"/>
              <w:bottom w:val="single" w:color="auto" w:sz="4" w:space="0"/>
              <w:right w:val="single" w:color="auto" w:sz="4" w:space="0"/>
            </w:tcBorders>
            <w:shd w:val="clear" w:color="auto" w:fill="D9D9D9"/>
            <w:vAlign w:val="center"/>
          </w:tcPr>
          <w:p w14:paraId="2DA4DFB4">
            <w:pPr>
              <w:pStyle w:val="8"/>
              <w:rPr>
                <w:b/>
              </w:rPr>
            </w:pPr>
            <w:r>
              <w:rPr>
                <w:rFonts w:hint="eastAsia"/>
              </w:rPr>
              <w:t>响应时间</w:t>
            </w:r>
          </w:p>
        </w:tc>
        <w:tc>
          <w:tcPr>
            <w:tcW w:w="2265" w:type="dxa"/>
            <w:tcBorders>
              <w:top w:val="single" w:color="auto" w:sz="4" w:space="0"/>
              <w:left w:val="single" w:color="auto" w:sz="4" w:space="0"/>
              <w:bottom w:val="single" w:color="auto" w:sz="4" w:space="0"/>
              <w:right w:val="single" w:color="auto" w:sz="4" w:space="0"/>
            </w:tcBorders>
            <w:shd w:val="clear" w:color="auto" w:fill="D9D9D9"/>
            <w:vAlign w:val="center"/>
          </w:tcPr>
          <w:p w14:paraId="0B6BF132">
            <w:pPr>
              <w:pStyle w:val="8"/>
              <w:rPr>
                <w:b/>
              </w:rPr>
            </w:pPr>
            <w:r>
              <w:rPr>
                <w:rFonts w:hint="eastAsia"/>
              </w:rPr>
              <w:t>提出解决方案</w:t>
            </w:r>
          </w:p>
        </w:tc>
      </w:tr>
      <w:tr w14:paraId="64C9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Borders>
              <w:top w:val="single" w:color="auto" w:sz="4" w:space="0"/>
              <w:left w:val="single" w:color="auto" w:sz="4" w:space="0"/>
              <w:bottom w:val="single" w:color="auto" w:sz="4" w:space="0"/>
              <w:right w:val="single" w:color="auto" w:sz="4" w:space="0"/>
            </w:tcBorders>
            <w:vAlign w:val="center"/>
          </w:tcPr>
          <w:p w14:paraId="09FF03A8">
            <w:pPr>
              <w:pStyle w:val="8"/>
              <w:rPr>
                <w:b/>
              </w:rPr>
            </w:pPr>
            <w:r>
              <w:rPr>
                <w:rFonts w:hint="eastAsia"/>
              </w:rPr>
              <w:t>紧急</w:t>
            </w:r>
          </w:p>
        </w:tc>
        <w:tc>
          <w:tcPr>
            <w:tcW w:w="2425" w:type="dxa"/>
            <w:tcBorders>
              <w:top w:val="single" w:color="auto" w:sz="4" w:space="0"/>
              <w:left w:val="single" w:color="auto" w:sz="4" w:space="0"/>
              <w:bottom w:val="single" w:color="auto" w:sz="4" w:space="0"/>
              <w:right w:val="single" w:color="auto" w:sz="4" w:space="0"/>
            </w:tcBorders>
            <w:vAlign w:val="center"/>
          </w:tcPr>
          <w:p w14:paraId="6079E80C">
            <w:pPr>
              <w:pStyle w:val="8"/>
              <w:rPr>
                <w:b/>
              </w:rPr>
            </w:pPr>
            <w:r>
              <w:rPr>
                <w:rFonts w:hint="eastAsia"/>
              </w:rPr>
              <w:t>7*24小时</w:t>
            </w:r>
          </w:p>
        </w:tc>
        <w:tc>
          <w:tcPr>
            <w:tcW w:w="2067" w:type="dxa"/>
            <w:tcBorders>
              <w:top w:val="single" w:color="auto" w:sz="4" w:space="0"/>
              <w:left w:val="single" w:color="auto" w:sz="4" w:space="0"/>
              <w:bottom w:val="single" w:color="auto" w:sz="4" w:space="0"/>
              <w:right w:val="single" w:color="auto" w:sz="4" w:space="0"/>
            </w:tcBorders>
            <w:vAlign w:val="center"/>
          </w:tcPr>
          <w:p w14:paraId="5CB89427">
            <w:pPr>
              <w:pStyle w:val="8"/>
              <w:rPr>
                <w:b/>
              </w:rPr>
            </w:pPr>
            <w:r>
              <w:rPr>
                <w:rFonts w:hint="eastAsia"/>
              </w:rPr>
              <w:t>半小时内</w:t>
            </w:r>
          </w:p>
        </w:tc>
        <w:tc>
          <w:tcPr>
            <w:tcW w:w="2265" w:type="dxa"/>
            <w:tcBorders>
              <w:top w:val="single" w:color="auto" w:sz="4" w:space="0"/>
              <w:left w:val="single" w:color="auto" w:sz="4" w:space="0"/>
              <w:bottom w:val="single" w:color="auto" w:sz="4" w:space="0"/>
              <w:right w:val="single" w:color="auto" w:sz="4" w:space="0"/>
            </w:tcBorders>
            <w:vAlign w:val="center"/>
          </w:tcPr>
          <w:p w14:paraId="250C52BF">
            <w:pPr>
              <w:pStyle w:val="8"/>
              <w:rPr>
                <w:b/>
              </w:rPr>
            </w:pPr>
            <w:r>
              <w:rPr>
                <w:rFonts w:hint="eastAsia"/>
              </w:rPr>
              <w:t>4小时内</w:t>
            </w:r>
          </w:p>
        </w:tc>
      </w:tr>
      <w:tr w14:paraId="317B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Borders>
              <w:top w:val="single" w:color="auto" w:sz="4" w:space="0"/>
              <w:left w:val="single" w:color="auto" w:sz="4" w:space="0"/>
              <w:bottom w:val="single" w:color="auto" w:sz="4" w:space="0"/>
              <w:right w:val="single" w:color="auto" w:sz="4" w:space="0"/>
            </w:tcBorders>
            <w:vAlign w:val="center"/>
          </w:tcPr>
          <w:p w14:paraId="79A052E4">
            <w:pPr>
              <w:pStyle w:val="8"/>
              <w:rPr>
                <w:b/>
              </w:rPr>
            </w:pPr>
            <w:r>
              <w:rPr>
                <w:rFonts w:hint="eastAsia"/>
              </w:rPr>
              <w:t>一般</w:t>
            </w:r>
          </w:p>
        </w:tc>
        <w:tc>
          <w:tcPr>
            <w:tcW w:w="2425" w:type="dxa"/>
            <w:tcBorders>
              <w:top w:val="single" w:color="auto" w:sz="4" w:space="0"/>
              <w:left w:val="single" w:color="auto" w:sz="4" w:space="0"/>
              <w:bottom w:val="single" w:color="auto" w:sz="4" w:space="0"/>
              <w:right w:val="single" w:color="auto" w:sz="4" w:space="0"/>
            </w:tcBorders>
            <w:vAlign w:val="center"/>
          </w:tcPr>
          <w:p w14:paraId="201AF2D3">
            <w:pPr>
              <w:pStyle w:val="8"/>
              <w:rPr>
                <w:b/>
              </w:rPr>
            </w:pPr>
            <w:r>
              <w:rPr>
                <w:rFonts w:hint="eastAsia"/>
              </w:rPr>
              <w:t>7*24小时</w:t>
            </w:r>
          </w:p>
        </w:tc>
        <w:tc>
          <w:tcPr>
            <w:tcW w:w="2067" w:type="dxa"/>
            <w:tcBorders>
              <w:top w:val="single" w:color="auto" w:sz="4" w:space="0"/>
              <w:left w:val="single" w:color="auto" w:sz="4" w:space="0"/>
              <w:bottom w:val="single" w:color="auto" w:sz="4" w:space="0"/>
              <w:right w:val="single" w:color="auto" w:sz="4" w:space="0"/>
            </w:tcBorders>
            <w:vAlign w:val="center"/>
          </w:tcPr>
          <w:p w14:paraId="2EDD1DFA">
            <w:pPr>
              <w:pStyle w:val="8"/>
              <w:rPr>
                <w:b/>
              </w:rPr>
            </w:pPr>
            <w:r>
              <w:rPr>
                <w:rFonts w:hint="eastAsia"/>
              </w:rPr>
              <w:t>8小时内</w:t>
            </w:r>
          </w:p>
        </w:tc>
        <w:tc>
          <w:tcPr>
            <w:tcW w:w="2265" w:type="dxa"/>
            <w:tcBorders>
              <w:top w:val="single" w:color="auto" w:sz="4" w:space="0"/>
              <w:left w:val="single" w:color="auto" w:sz="4" w:space="0"/>
              <w:bottom w:val="single" w:color="auto" w:sz="4" w:space="0"/>
              <w:right w:val="single" w:color="auto" w:sz="4" w:space="0"/>
            </w:tcBorders>
            <w:vAlign w:val="center"/>
          </w:tcPr>
          <w:p w14:paraId="75FABFF1">
            <w:pPr>
              <w:pStyle w:val="8"/>
              <w:rPr>
                <w:b/>
              </w:rPr>
            </w:pPr>
            <w:r>
              <w:rPr>
                <w:rFonts w:hint="eastAsia"/>
              </w:rPr>
              <w:t>12小时内</w:t>
            </w:r>
          </w:p>
        </w:tc>
      </w:tr>
    </w:tbl>
    <w:p w14:paraId="36B0FF36">
      <w:pPr>
        <w:rPr>
          <w:rFonts w:asciiTheme="minorEastAsia" w:hAnsiTheme="minorEastAsia"/>
          <w:sz w:val="28"/>
          <w:szCs w:val="28"/>
        </w:rPr>
      </w:pPr>
      <w:r>
        <w:rPr>
          <w:rFonts w:hint="eastAsia" w:asciiTheme="minorEastAsia" w:hAnsiTheme="minorEastAsia"/>
          <w:sz w:val="28"/>
          <w:szCs w:val="28"/>
        </w:rPr>
        <w:t>（2）可提供在线支持、远程、现场的服务方式。</w:t>
      </w:r>
    </w:p>
    <w:p w14:paraId="6373ED11">
      <w:pPr>
        <w:rPr>
          <w:rFonts w:asciiTheme="minorEastAsia" w:hAnsiTheme="minorEastAsia"/>
          <w:sz w:val="28"/>
          <w:szCs w:val="28"/>
        </w:rPr>
      </w:pPr>
      <w:r>
        <w:rPr>
          <w:rFonts w:hint="eastAsia" w:asciiTheme="minorEastAsia" w:hAnsiTheme="minorEastAsia"/>
          <w:sz w:val="28"/>
          <w:szCs w:val="28"/>
        </w:rPr>
        <w:t xml:space="preserve">（六）采购标的的验收标准： </w:t>
      </w:r>
    </w:p>
    <w:p w14:paraId="04BC1570">
      <w:pPr>
        <w:ind w:firstLine="560" w:firstLineChars="200"/>
        <w:rPr>
          <w:rFonts w:asciiTheme="minorEastAsia" w:hAnsiTheme="minorEastAsia"/>
          <w:sz w:val="28"/>
          <w:szCs w:val="28"/>
        </w:rPr>
      </w:pPr>
      <w:r>
        <w:rPr>
          <w:rFonts w:hint="eastAsia" w:asciiTheme="minorEastAsia" w:hAnsiTheme="minorEastAsia"/>
          <w:sz w:val="28"/>
          <w:szCs w:val="28"/>
        </w:rPr>
        <w:t>符合质量验收统一标准及国家、省、市现行法规、规范及标准。中标方提供软件许可证，投标模块和数量与用户要求完全一致，如有因盗版软件引起的一切法律后果，由软件厂家与中标公司承担连带法律责任。中标人应负责在项目验收时将系统的全部有关产品说明书、技术文件、资料，及安装、验收报告等文档交付设备使用单位。采购方按照合同和技术要求组织相关部门和使用部门对功能逐一测试和试运行验收。</w:t>
      </w:r>
    </w:p>
    <w:p w14:paraId="782F449A">
      <w:pPr>
        <w:rPr>
          <w:rFonts w:asciiTheme="minorEastAsia" w:hAnsiTheme="minorEastAsia"/>
          <w:sz w:val="28"/>
          <w:szCs w:val="28"/>
        </w:rPr>
      </w:pPr>
      <w:r>
        <w:rPr>
          <w:rFonts w:hint="eastAsia" w:asciiTheme="minorEastAsia" w:hAnsiTheme="minorEastAsia"/>
          <w:sz w:val="28"/>
          <w:szCs w:val="28"/>
        </w:rPr>
        <w:t>（七）采购标的的其他技术、服务等要求。</w:t>
      </w:r>
    </w:p>
    <w:p w14:paraId="0A7FA1C2">
      <w:pPr>
        <w:ind w:firstLine="560" w:firstLineChars="200"/>
        <w:rPr>
          <w:rFonts w:asciiTheme="minorEastAsia" w:hAnsiTheme="minorEastAsia"/>
          <w:sz w:val="28"/>
          <w:szCs w:val="28"/>
        </w:rPr>
      </w:pPr>
      <w:r>
        <w:rPr>
          <w:rFonts w:hint="eastAsia" w:asciiTheme="minorEastAsia" w:hAnsiTheme="minorEastAsia"/>
          <w:sz w:val="28"/>
          <w:szCs w:val="28"/>
        </w:rPr>
        <w:t>按医院要求免费完成医院相关系统及信息集成平台的接口对接工作。提供专业的售后服务支持和保证，出现故障30分钟响应，4小时解决问题。</w:t>
      </w:r>
    </w:p>
    <w:p w14:paraId="7732307D">
      <w:pPr>
        <w:rPr>
          <w:rFonts w:asciiTheme="minorEastAsia" w:hAnsiTheme="minorEastAsia"/>
          <w:sz w:val="28"/>
          <w:szCs w:val="28"/>
        </w:rPr>
      </w:pPr>
      <w:r>
        <w:rPr>
          <w:rFonts w:hint="eastAsia" w:asciiTheme="minorEastAsia" w:hAnsiTheme="minorEastAsia"/>
          <w:sz w:val="28"/>
          <w:szCs w:val="28"/>
        </w:rPr>
        <w:t>（八）实施及服务基本要求</w:t>
      </w:r>
    </w:p>
    <w:p w14:paraId="7977236A">
      <w:pPr>
        <w:rPr>
          <w:rFonts w:asciiTheme="minorEastAsia" w:hAnsiTheme="minorEastAsia"/>
          <w:sz w:val="28"/>
          <w:szCs w:val="28"/>
        </w:rPr>
      </w:pPr>
      <w:r>
        <w:rPr>
          <w:rFonts w:hint="eastAsia" w:asciiTheme="minorEastAsia" w:hAnsiTheme="minorEastAsia"/>
          <w:sz w:val="28"/>
          <w:szCs w:val="28"/>
        </w:rPr>
        <w:t>以下5项实施及服务要求：</w:t>
      </w:r>
    </w:p>
    <w:p w14:paraId="1A55E78E">
      <w:pPr>
        <w:rPr>
          <w:rFonts w:asciiTheme="minorEastAsia" w:hAnsiTheme="minorEastAsia"/>
          <w:sz w:val="28"/>
          <w:szCs w:val="28"/>
        </w:rPr>
      </w:pPr>
      <w:r>
        <w:rPr>
          <w:rFonts w:hint="eastAsia" w:asciiTheme="minorEastAsia" w:hAnsiTheme="minorEastAsia"/>
          <w:sz w:val="28"/>
          <w:szCs w:val="28"/>
        </w:rPr>
        <w:t>1.客户端安装使用无数量限制；投标人提供系统培训。</w:t>
      </w:r>
    </w:p>
    <w:p w14:paraId="293569AF">
      <w:pPr>
        <w:rPr>
          <w:rFonts w:asciiTheme="minorEastAsia" w:hAnsiTheme="minorEastAsia"/>
          <w:sz w:val="28"/>
          <w:szCs w:val="28"/>
        </w:rPr>
      </w:pPr>
      <w:r>
        <w:rPr>
          <w:rFonts w:hint="eastAsia" w:asciiTheme="minorEastAsia" w:hAnsiTheme="minorEastAsia"/>
          <w:sz w:val="28"/>
          <w:szCs w:val="28"/>
        </w:rPr>
        <w:t>2.本次投标所提供的系统、及运维期服务能与采购人现使用的相关系统、集成平台及医院因业务需求需要对接的系统等免费无缝集成，无条件免费开放所有接口和数据结构，并完成相关接口开发，对接本项目涉及到与第三方软件业务系统所发生的人工、联调、开发、修复、二次更改等一系列接口费用（包干）由投标人全额承担；</w:t>
      </w:r>
    </w:p>
    <w:p w14:paraId="26547F8D">
      <w:pPr>
        <w:rPr>
          <w:rFonts w:asciiTheme="minorEastAsia" w:hAnsiTheme="minorEastAsia"/>
          <w:sz w:val="28"/>
          <w:szCs w:val="28"/>
        </w:rPr>
      </w:pPr>
      <w:r>
        <w:rPr>
          <w:rFonts w:hint="eastAsia" w:asciiTheme="minorEastAsia" w:hAnsiTheme="minorEastAsia"/>
          <w:sz w:val="28"/>
          <w:szCs w:val="28"/>
        </w:rPr>
        <w:t>3.投标人在系统建设及运维服务期内与医院在用或新建的各系统按医院要求免费对接，不限接口形式；</w:t>
      </w:r>
    </w:p>
    <w:p w14:paraId="50CFCBD0">
      <w:pPr>
        <w:rPr>
          <w:rFonts w:asciiTheme="minorEastAsia" w:hAnsiTheme="minorEastAsia"/>
          <w:sz w:val="28"/>
          <w:szCs w:val="28"/>
        </w:rPr>
      </w:pPr>
      <w:r>
        <w:rPr>
          <w:rFonts w:hint="eastAsia" w:asciiTheme="minorEastAsia" w:hAnsiTheme="minorEastAsia"/>
          <w:sz w:val="28"/>
          <w:szCs w:val="28"/>
        </w:rPr>
        <w:t>4.投标人在系统建设及运维服务期内要求免费配合医院完成国家级、省级评审、评级等迎检及建设相关工作。</w:t>
      </w:r>
    </w:p>
    <w:p w14:paraId="54454194">
      <w:r>
        <w:rPr>
          <w:rFonts w:hint="eastAsia" w:asciiTheme="minorEastAsia" w:hAnsiTheme="minorEastAsia"/>
          <w:sz w:val="28"/>
          <w:szCs w:val="28"/>
        </w:rPr>
        <w:t>5.投标人在系统建设及运维服务期内，免费配合完成该项目涉及的系统与服务能够与医院及医院指定院区等信息化发展要求的内容进行融合，该系统与服务在医院及医院指定院区免费使用并同步数据。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113F5B"/>
    <w:multiLevelType w:val="multilevel"/>
    <w:tmpl w:val="12113F5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3650874"/>
    <w:multiLevelType w:val="multilevel"/>
    <w:tmpl w:val="53650874"/>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7CB6"/>
    <w:rsid w:val="0000326D"/>
    <w:rsid w:val="000E53A7"/>
    <w:rsid w:val="00135053"/>
    <w:rsid w:val="001545D7"/>
    <w:rsid w:val="001F4FF9"/>
    <w:rsid w:val="002178E8"/>
    <w:rsid w:val="00285705"/>
    <w:rsid w:val="002D0E91"/>
    <w:rsid w:val="002D55DE"/>
    <w:rsid w:val="00483A00"/>
    <w:rsid w:val="00567B01"/>
    <w:rsid w:val="005D1C7D"/>
    <w:rsid w:val="006E08C1"/>
    <w:rsid w:val="00786E62"/>
    <w:rsid w:val="00797CB6"/>
    <w:rsid w:val="009C6776"/>
    <w:rsid w:val="00A752D0"/>
    <w:rsid w:val="00C02298"/>
    <w:rsid w:val="00C54DE1"/>
    <w:rsid w:val="73A233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semiHidden/>
    <w:unhideWhenUsed/>
    <w:qFormat/>
    <w:uiPriority w:val="99"/>
    <w:pPr>
      <w:tabs>
        <w:tab w:val="center" w:pos="4153"/>
        <w:tab w:val="right" w:pos="8306"/>
      </w:tabs>
      <w:snapToGrid w:val="0"/>
      <w:jc w:val="left"/>
    </w:pPr>
    <w:rPr>
      <w:sz w:val="18"/>
      <w:szCs w:val="18"/>
    </w:rPr>
  </w:style>
  <w:style w:type="paragraph" w:styleId="3">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List Paragraph"/>
    <w:basedOn w:val="1"/>
    <w:qFormat/>
    <w:uiPriority w:val="34"/>
    <w:pPr>
      <w:ind w:firstLine="420" w:firstLineChars="200"/>
    </w:pPr>
  </w:style>
  <w:style w:type="paragraph" w:customStyle="1" w:styleId="8">
    <w:name w:val="表格内容"/>
    <w:basedOn w:val="1"/>
    <w:link w:val="9"/>
    <w:qFormat/>
    <w:uiPriority w:val="0"/>
    <w:pPr>
      <w:spacing w:line="360" w:lineRule="auto"/>
      <w:ind w:firstLine="480"/>
      <w:jc w:val="left"/>
    </w:pPr>
    <w:rPr>
      <w:rFonts w:ascii="宋体" w:eastAsia="宋体" w:cs="宋体"/>
      <w:szCs w:val="32"/>
    </w:rPr>
  </w:style>
  <w:style w:type="character" w:customStyle="1" w:styleId="9">
    <w:name w:val="表格内容 字符"/>
    <w:basedOn w:val="6"/>
    <w:link w:val="8"/>
    <w:uiPriority w:val="0"/>
    <w:rPr>
      <w:rFonts w:ascii="宋体" w:eastAsia="宋体" w:cs="宋体"/>
      <w:szCs w:val="32"/>
    </w:rPr>
  </w:style>
  <w:style w:type="character" w:customStyle="1" w:styleId="10">
    <w:name w:val="页眉 Char"/>
    <w:basedOn w:val="6"/>
    <w:link w:val="3"/>
    <w:semiHidden/>
    <w:qFormat/>
    <w:uiPriority w:val="99"/>
    <w:rPr>
      <w:sz w:val="18"/>
      <w:szCs w:val="18"/>
    </w:rPr>
  </w:style>
  <w:style w:type="character" w:customStyle="1" w:styleId="11">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7</Pages>
  <Words>3184</Words>
  <Characters>3228</Characters>
  <Lines>23</Lines>
  <Paragraphs>6</Paragraphs>
  <TotalTime>26</TotalTime>
  <ScaleCrop>false</ScaleCrop>
  <LinksUpToDate>false</LinksUpToDate>
  <CharactersWithSpaces>3236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2026-09-17T02:53:00Z</dcterms:created>
  <dc:creator>Windows User</dc:creator>
  <cp:lastModifiedBy>曾凡荣</cp:lastModifiedBy>
  <dcterms:modified xsi:type="dcterms:W3CDTF">2026-09-18T01:20:52Z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eyJoZGlkIjoiMDEzMmVlYmFmMzI1NDMzMmQwMTg3NWYxOTE4MDJkYTQiLCJ1c2VySWQiOiIxNTU4MTIxMjA3In0=</vt:lpwstr>
  </property>
  <property fmtid="{D5CDD505-2E9C-101B-9397-08002B2CF9AE}" pid="3" name="KSOProductBuildVer">
    <vt:lpwstr>2052-12.1.0.28043</vt:lpwstr>
  </property>
  <property fmtid="{D5CDD505-2E9C-101B-9397-08002B2CF9AE}" pid="4" name="ICV">
    <vt:lpwstr>34AB27EEB79E4BD78931A3EE481AA3CE_12</vt:lpwstr>
  </property>
</Properties>
</file>