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0F2C1">
      <w:pPr>
        <w:widowControl/>
        <w:spacing w:line="360" w:lineRule="auto"/>
        <w:jc w:val="center"/>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 xml:space="preserve"> </w:t>
      </w:r>
      <w:bookmarkStart w:id="1" w:name="_GoBack"/>
      <w:bookmarkEnd w:id="1"/>
      <w:r>
        <w:rPr>
          <w:rFonts w:hint="eastAsia" w:ascii="宋体" w:hAnsi="宋体" w:eastAsia="宋体" w:cs="宋体"/>
          <w:color w:val="FF0000"/>
          <w:kern w:val="0"/>
          <w:sz w:val="24"/>
          <w:szCs w:val="24"/>
          <w:u w:val="single"/>
          <w:lang w:val="en-US" w:eastAsia="zh-CN"/>
        </w:rPr>
        <w:t>云南省第一人民医院内镜洗消可追溯系统运维服务项目</w:t>
      </w:r>
      <w:r>
        <w:rPr>
          <w:rFonts w:hint="eastAsia" w:ascii="宋体" w:hAnsi="宋体" w:eastAsia="宋体" w:cs="宋体"/>
          <w:kern w:val="0"/>
          <w:sz w:val="24"/>
          <w:szCs w:val="24"/>
          <w:u w:val="none"/>
        </w:rPr>
        <w:t>采购需求</w:t>
      </w:r>
    </w:p>
    <w:p w14:paraId="3E61C935">
      <w:pPr>
        <w:pStyle w:val="2"/>
        <w:rPr>
          <w:rFonts w:hint="eastAsia"/>
        </w:rPr>
      </w:pPr>
    </w:p>
    <w:p w14:paraId="4A0658FF">
      <w:pPr>
        <w:keepNext w:val="0"/>
        <w:keepLines w:val="0"/>
        <w:pageBreakBefore w:val="0"/>
        <w:widowControl/>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采购需求应当完整、明确，包括以下内容： （一）采购标的需实现的功能或者目标，以及为落实政府采购政策需满足的要求； （二）采购标的需执行的国家相关标准、行业标准、地方标准或者其他标准、规范； （三）采购标的需满足的质量、安全、技术规格、物理特性等要求； （四）采购标的的数量、采购项目交付或者实施的时间和地点； （五）采购标的需满足的服务标准、期限、效率等要求； （六）采购标的的验收标准； （七）采购标的的其他技术、服务等要求。</w:t>
      </w:r>
      <w:r>
        <w:rPr>
          <w:rFonts w:hint="eastAsia" w:ascii="宋体" w:hAnsi="宋体" w:eastAsia="宋体" w:cs="宋体"/>
          <w:kern w:val="0"/>
          <w:sz w:val="24"/>
          <w:szCs w:val="24"/>
          <w:lang w:val="en-US" w:eastAsia="zh-CN"/>
        </w:rPr>
        <w:t>（八）实施及服务基本要求</w:t>
      </w:r>
    </w:p>
    <w:p w14:paraId="2BD28057">
      <w:pPr>
        <w:widowControl/>
        <w:spacing w:line="360" w:lineRule="auto"/>
        <w:jc w:val="left"/>
        <w:rPr>
          <w:rFonts w:hint="eastAsia" w:ascii="宋体" w:hAnsi="宋体" w:eastAsia="宋体" w:cs="宋体"/>
          <w:kern w:val="0"/>
          <w:sz w:val="24"/>
          <w:szCs w:val="24"/>
        </w:rPr>
      </w:pPr>
    </w:p>
    <w:p w14:paraId="6DE10C8F">
      <w:pPr>
        <w:widowControl/>
        <w:spacing w:line="360" w:lineRule="auto"/>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 xml:space="preserve">（一) </w:t>
      </w:r>
      <w:r>
        <w:rPr>
          <w:rFonts w:hint="eastAsia" w:ascii="宋体" w:hAnsi="宋体" w:eastAsia="宋体" w:cs="宋体"/>
          <w:b/>
          <w:bCs/>
          <w:kern w:val="0"/>
          <w:sz w:val="24"/>
          <w:szCs w:val="24"/>
        </w:rPr>
        <w:t>采购标的需实现的功能或者目标，以及为落实政府采购政策需满足的要求；</w:t>
      </w:r>
    </w:p>
    <w:p w14:paraId="383A7410">
      <w:pPr>
        <w:widowControl/>
        <w:spacing w:line="360" w:lineRule="auto"/>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一、采购目标</w:t>
      </w:r>
    </w:p>
    <w:p w14:paraId="2EDD4C2A">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现场派遣专属驻场工程师一名进行日常现场维护及一定范围的程序修改、功能配置等，主要服务如下：系统软件升级、现场更新；修改或完善应用期间发现的软件错误或缺陷，确保系统正常运行；对各类系统接口进行日常维护和管理，如果接入系统的其他系统数据出现问题，应及时查找问题并处理问题；已应用模块范围内的功能提升需求、调整、修改；如有功能升级，需提供培训服务。驻场工程师工作时间与医院上班时间一致，夜间及节假日可采用电话或远程方式进行远程维护。</w:t>
      </w:r>
    </w:p>
    <w:p w14:paraId="78E31E60">
      <w:pPr>
        <w:widowControl/>
        <w:spacing w:line="360" w:lineRule="auto"/>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二、采购要求</w:t>
      </w:r>
    </w:p>
    <w:p w14:paraId="2814F62F">
      <w:pPr>
        <w:widowControl/>
        <w:spacing w:line="360" w:lineRule="auto"/>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1.维护内容</w:t>
      </w:r>
    </w:p>
    <w:p w14:paraId="649FCEF5">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维保范围包含内镜洗消可追溯系统软件及相关硬件</w:t>
      </w:r>
    </w:p>
    <w:p w14:paraId="740A8C5E">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（1）.日常巡检：定期对医院内镜洗消可追溯系统软件及相关硬件设备进行巡视和检查。</w:t>
      </w:r>
    </w:p>
    <w:p w14:paraId="00302ADD">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（2）.硬件故障维修监护：在医院内镜系统硬件设备故障维修时，提供设备生产原厂商的维保服务；对无法现场维修的终端设备进行返厂维修：对维修过程的现场监护。</w:t>
      </w:r>
    </w:p>
    <w:p w14:paraId="3D0E429F">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重点保障服务：提供重大事件时期的一级技术保障服务，例如：医院评审评级、上级数据查询调阅、特殊重大事件等。在此期间服务供应方须派遣业务水平高的工程师按时到达指定工作场所并实施一级保障的技术服务。</w:t>
      </w:r>
    </w:p>
    <w:p w14:paraId="47652D04">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（4）技术支持服务：提供7x24小时远程技术支持服务，可随时接收业主方信息反馈和问题申报，在30分钟内做出响应。服务范围包括：产品技术咨询、设备配置与使用指导、软硬件故障诊断等内容。</w:t>
      </w:r>
    </w:p>
    <w:p w14:paraId="472F16DB">
      <w:pPr>
        <w:widowControl/>
        <w:spacing w:line="360" w:lineRule="auto"/>
        <w:jc w:val="left"/>
        <w:rPr>
          <w:rFonts w:hint="eastAsia" w:cs="宋体"/>
          <w:b w:val="0"/>
          <w:bCs w:val="0"/>
          <w:color w:val="FF0000"/>
          <w:kern w:val="0"/>
          <w:sz w:val="24"/>
          <w:szCs w:val="24"/>
          <w:lang w:val="en-US" w:eastAsia="zh-CN" w:bidi="ar-SA"/>
        </w:rPr>
      </w:pPr>
      <w:bookmarkStart w:id="0" w:name="_Toc524525007"/>
      <w:r>
        <w:rPr>
          <w:rFonts w:hint="eastAsia" w:cs="宋体"/>
          <w:b w:val="0"/>
          <w:bCs w:val="0"/>
          <w:color w:val="FF0000"/>
          <w:kern w:val="0"/>
          <w:sz w:val="24"/>
          <w:szCs w:val="24"/>
          <w:lang w:val="en-US" w:eastAsia="zh-CN" w:bidi="ar-SA"/>
        </w:rPr>
        <w:t>2.维保服务要求</w:t>
      </w:r>
      <w:bookmarkEnd w:id="0"/>
    </w:p>
    <w:p w14:paraId="176DDB67">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（1）.维保性质：软件在维保期内免费维护并升级，硬件在维保期内收取成本费用。</w:t>
      </w:r>
    </w:p>
    <w:p w14:paraId="4C706183">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（2）.故障维修：维保期内对院内系统涵盖的所有设备、设施、附件以及相连接线缆发生的任何问题、故障和隐患进行必要的维修。</w:t>
      </w:r>
    </w:p>
    <w:p w14:paraId="651C2C5D">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（3）.运行维护：对消化内镜洗消可追溯系统提供整体技术服务支持和培训。</w:t>
      </w:r>
    </w:p>
    <w:p w14:paraId="31593D28">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（4）.应急处置：包含突发事件的应急处理和计划性的应急维护。</w:t>
      </w:r>
    </w:p>
    <w:p w14:paraId="3100DF46">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（5）.集成接口：维保期内对系统提供免费集成接口开发服务。</w:t>
      </w:r>
    </w:p>
    <w:p w14:paraId="181445DD">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（6）.排除故障不得超出24小时。</w:t>
      </w:r>
    </w:p>
    <w:p w14:paraId="663BF828">
      <w:pPr>
        <w:widowControl/>
        <w:spacing w:line="360" w:lineRule="auto"/>
        <w:ind w:firstLine="42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（7）.在合同期内为医院提供每年的现场测试、巡检服务。</w:t>
      </w:r>
    </w:p>
    <w:p w14:paraId="7B8725F6">
      <w:pPr>
        <w:widowControl/>
        <w:spacing w:line="360" w:lineRule="auto"/>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3.网络安全要求</w:t>
      </w:r>
    </w:p>
    <w:p w14:paraId="4CF0CF83">
      <w:pPr>
        <w:widowControl/>
        <w:spacing w:line="360" w:lineRule="auto"/>
        <w:ind w:firstLine="420" w:firstLineChars="0"/>
        <w:jc w:val="left"/>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w:t>
      </w:r>
      <w:r>
        <w:rPr>
          <w:rFonts w:hint="default" w:cs="宋体"/>
          <w:b w:val="0"/>
          <w:bCs w:val="0"/>
          <w:color w:val="FF0000"/>
          <w:kern w:val="0"/>
          <w:sz w:val="24"/>
          <w:szCs w:val="24"/>
          <w:lang w:val="en-US" w:eastAsia="zh-CN" w:bidi="ar-SA"/>
        </w:rPr>
        <w:t>1</w:t>
      </w:r>
      <w:r>
        <w:rPr>
          <w:rFonts w:hint="eastAsia" w:cs="宋体"/>
          <w:b w:val="0"/>
          <w:bCs w:val="0"/>
          <w:color w:val="FF0000"/>
          <w:kern w:val="0"/>
          <w:sz w:val="24"/>
          <w:szCs w:val="24"/>
          <w:lang w:val="en-US" w:eastAsia="zh-CN" w:bidi="ar-SA"/>
        </w:rPr>
        <w:t>).</w:t>
      </w:r>
      <w:r>
        <w:rPr>
          <w:rFonts w:hint="default" w:cs="宋体"/>
          <w:b w:val="0"/>
          <w:bCs w:val="0"/>
          <w:color w:val="FF0000"/>
          <w:kern w:val="0"/>
          <w:sz w:val="24"/>
          <w:szCs w:val="24"/>
          <w:lang w:val="en-US" w:eastAsia="zh-CN" w:bidi="ar-SA"/>
        </w:rPr>
        <w:t>供应商须遵守医院各项网络安全、数据安全及个人信息保护管理制度。</w:t>
      </w:r>
    </w:p>
    <w:p w14:paraId="63034DAA">
      <w:pPr>
        <w:widowControl/>
        <w:spacing w:line="360" w:lineRule="auto"/>
        <w:ind w:firstLine="420" w:firstLineChars="0"/>
        <w:jc w:val="left"/>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w:t>
      </w:r>
      <w:r>
        <w:rPr>
          <w:rFonts w:hint="default" w:cs="宋体"/>
          <w:b w:val="0"/>
          <w:bCs w:val="0"/>
          <w:color w:val="FF0000"/>
          <w:kern w:val="0"/>
          <w:sz w:val="24"/>
          <w:szCs w:val="24"/>
          <w:lang w:val="en-US" w:eastAsia="zh-CN" w:bidi="ar-SA"/>
        </w:rPr>
        <w:t>.供应商须配合医院完成安全测试，对发现的漏洞按医院要求限期整改。</w:t>
      </w:r>
    </w:p>
    <w:p w14:paraId="33E4F93C">
      <w:pPr>
        <w:widowControl/>
        <w:spacing w:line="360" w:lineRule="auto"/>
        <w:ind w:firstLine="420" w:firstLineChars="0"/>
        <w:jc w:val="left"/>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w:t>
      </w:r>
      <w:r>
        <w:rPr>
          <w:rFonts w:hint="default" w:cs="宋体"/>
          <w:b w:val="0"/>
          <w:bCs w:val="0"/>
          <w:color w:val="FF0000"/>
          <w:kern w:val="0"/>
          <w:sz w:val="24"/>
          <w:szCs w:val="24"/>
          <w:lang w:val="en-US" w:eastAsia="zh-CN" w:bidi="ar-SA"/>
        </w:rPr>
        <w:t>.须配合医院完成数据分类分级及重要数据识别认定。</w:t>
      </w:r>
    </w:p>
    <w:p w14:paraId="01883564">
      <w:pPr>
        <w:widowControl/>
        <w:spacing w:line="360" w:lineRule="auto"/>
        <w:jc w:val="left"/>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4.具体要求</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36"/>
        <w:gridCol w:w="1586"/>
        <w:gridCol w:w="5982"/>
      </w:tblGrid>
      <w:tr w14:paraId="1876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D93E413">
            <w:pPr>
              <w:widowControl/>
              <w:snapToGrid w:val="0"/>
              <w:spacing w:line="240" w:lineRule="auto"/>
              <w:ind w:left="0" w:leftChars="0" w:right="0" w:rightChars="0" w:firstLine="0" w:firstLineChars="0"/>
              <w:jc w:val="center"/>
              <w:rPr>
                <w:rFonts w:hint="eastAsia" w:cs="宋体"/>
                <w:b/>
                <w:bCs w:val="0"/>
                <w:color w:val="FF0000"/>
                <w:kern w:val="0"/>
                <w:sz w:val="24"/>
                <w:szCs w:val="24"/>
                <w:lang w:val="en-US" w:eastAsia="zh-CN" w:bidi="ar-SA"/>
              </w:rPr>
            </w:pPr>
            <w:r>
              <w:rPr>
                <w:rFonts w:hint="eastAsia" w:cs="宋体"/>
                <w:b/>
                <w:bCs w:val="0"/>
                <w:color w:val="FF0000"/>
                <w:kern w:val="0"/>
                <w:sz w:val="24"/>
                <w:szCs w:val="24"/>
                <w:lang w:val="en-US" w:eastAsia="zh-CN" w:bidi="ar-SA"/>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54DA95">
            <w:pPr>
              <w:widowControl/>
              <w:snapToGrid w:val="0"/>
              <w:spacing w:line="240" w:lineRule="auto"/>
              <w:ind w:left="0" w:leftChars="0" w:right="0" w:rightChars="0" w:firstLine="0" w:firstLineChars="0"/>
              <w:jc w:val="center"/>
              <w:rPr>
                <w:rFonts w:hint="eastAsia" w:cs="宋体"/>
                <w:b/>
                <w:bCs w:val="0"/>
                <w:color w:val="FF0000"/>
                <w:kern w:val="0"/>
                <w:sz w:val="24"/>
                <w:szCs w:val="24"/>
                <w:lang w:val="en-US" w:eastAsia="zh-CN" w:bidi="ar-SA"/>
              </w:rPr>
            </w:pPr>
            <w:r>
              <w:rPr>
                <w:rFonts w:hint="eastAsia" w:cs="宋体"/>
                <w:b/>
                <w:bCs w:val="0"/>
                <w:color w:val="FF0000"/>
                <w:kern w:val="0"/>
                <w:sz w:val="24"/>
                <w:szCs w:val="24"/>
                <w:lang w:val="en-US" w:eastAsia="zh-CN" w:bidi="ar-SA"/>
              </w:rPr>
              <w:t>主要要求</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7AAADDD6">
            <w:pPr>
              <w:widowControl/>
              <w:snapToGrid w:val="0"/>
              <w:spacing w:line="240" w:lineRule="auto"/>
              <w:ind w:left="0" w:leftChars="0" w:right="0" w:rightChars="0" w:firstLine="0" w:firstLineChars="0"/>
              <w:jc w:val="center"/>
              <w:rPr>
                <w:rFonts w:hint="eastAsia" w:cs="宋体"/>
                <w:b/>
                <w:bCs w:val="0"/>
                <w:color w:val="FF0000"/>
                <w:kern w:val="0"/>
                <w:sz w:val="24"/>
                <w:szCs w:val="24"/>
                <w:lang w:val="en-US" w:eastAsia="zh-CN" w:bidi="ar-SA"/>
              </w:rPr>
            </w:pPr>
            <w:r>
              <w:rPr>
                <w:rFonts w:hint="eastAsia" w:cs="宋体"/>
                <w:b/>
                <w:bCs w:val="0"/>
                <w:color w:val="FF0000"/>
                <w:kern w:val="0"/>
                <w:sz w:val="24"/>
                <w:szCs w:val="24"/>
                <w:lang w:val="en-US" w:eastAsia="zh-CN" w:bidi="ar-SA"/>
              </w:rPr>
              <w:t>服务内容</w:t>
            </w:r>
          </w:p>
        </w:tc>
      </w:tr>
      <w:tr w14:paraId="59F6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444974">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DD74B8">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维护内容</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16D6C84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维保范围包含消化内镜洗消可追溯系统及各类接口。</w:t>
            </w:r>
          </w:p>
        </w:tc>
      </w:tr>
      <w:tr w14:paraId="5F2D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654B8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FF22A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7A6CBB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根据提供给医院的软件系统产品及附属配置，保证提供给医院的软件系统产品及附属配置正常运行，或将提供给医院的软件系统产品及附属配置恢复正常运行。包括制定的预防性维护等。</w:t>
            </w:r>
          </w:p>
        </w:tc>
      </w:tr>
      <w:tr w14:paraId="06EB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0668B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4F112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66027680">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跟进评审评级要求进行功能性的改造，新增或修改系统集成接口、软件版本升级。</w:t>
            </w:r>
          </w:p>
        </w:tc>
      </w:tr>
      <w:tr w14:paraId="59DF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BC904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4</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444472">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329C3C6">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按用户要求，修改用户等级及安全级别。</w:t>
            </w:r>
          </w:p>
        </w:tc>
      </w:tr>
      <w:tr w14:paraId="7603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27832D">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5</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E6602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7276BFD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对于其他硬件或者第三方软件产品以及外接设备可能存在的问题给予建议。</w:t>
            </w:r>
          </w:p>
        </w:tc>
      </w:tr>
      <w:tr w14:paraId="40B2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6445AD">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6</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3512B8">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66EA056D">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驻场工程师的检查结果或建议，以工作报告的形式提交给医院指定负责人。此报告也用作医院接收服务的依据。</w:t>
            </w:r>
          </w:p>
        </w:tc>
      </w:tr>
      <w:tr w14:paraId="6893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EF7014">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7</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2715D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59E58C0">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定期检查服务器后台数据库、报告发布程序。</w:t>
            </w:r>
          </w:p>
        </w:tc>
      </w:tr>
      <w:tr w14:paraId="77B6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643CE0">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8</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AE0FC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7F70F44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定期检查数据库维护计划以及磁盘空间大小。</w:t>
            </w:r>
          </w:p>
        </w:tc>
      </w:tr>
      <w:tr w14:paraId="4545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7D4B93">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9</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02424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1C909932">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定期检查维护客户端工作站软硬件是否正常运行。</w:t>
            </w:r>
          </w:p>
        </w:tc>
      </w:tr>
      <w:tr w14:paraId="1D5E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5B3F4F">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10</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69C208">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46B08A0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程序升级、上线的现场支持。</w:t>
            </w:r>
          </w:p>
        </w:tc>
      </w:tr>
      <w:tr w14:paraId="463C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2C4EB4">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11</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25A7F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2F72B7F">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数据处理与统计。</w:t>
            </w:r>
          </w:p>
        </w:tc>
      </w:tr>
      <w:tr w14:paraId="35A5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100B19">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12</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442A0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4922405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程序安装、配置，及用户培训。</w:t>
            </w:r>
          </w:p>
        </w:tc>
      </w:tr>
      <w:tr w14:paraId="5234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AE5EB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13</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B129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910C44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解决程序Bug。</w:t>
            </w:r>
          </w:p>
        </w:tc>
      </w:tr>
      <w:tr w14:paraId="413C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4A9F6D">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14</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1AAA62">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44843379">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应用系统运行环境、性能、作业执行情况监测。</w:t>
            </w:r>
          </w:p>
        </w:tc>
      </w:tr>
      <w:tr w14:paraId="3AC0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6B6AC3">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15</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2A21E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65D899B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重要时间或重要事件的技术支持。</w:t>
            </w:r>
          </w:p>
        </w:tc>
      </w:tr>
      <w:tr w14:paraId="6FCD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4CE92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16</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9BE66F">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44DB50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专业技术咨询服务，提供可行性建议。</w:t>
            </w:r>
          </w:p>
        </w:tc>
      </w:tr>
      <w:tr w14:paraId="11AC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CB0FCB">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17</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08CF71">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21917300">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提供工作日志、操作手册等相关文档。</w:t>
            </w:r>
          </w:p>
        </w:tc>
      </w:tr>
      <w:tr w14:paraId="3899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5FAE00">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1391A78">
            <w:pPr>
              <w:widowControl/>
              <w:snapToGrid w:val="0"/>
              <w:spacing w:line="240" w:lineRule="auto"/>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预防性服务</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83B9C2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对设备及其他部件做总体检查，包括检测整个系统的硬件和软件，并对发现的问题立即进行解决。对整个系统运行和处理能力进行诊断性检查。直观检查终端电缆、插头、插座的可见部分。直观检查信号线的可见部分。</w:t>
            </w:r>
          </w:p>
        </w:tc>
      </w:tr>
      <w:tr w14:paraId="6D82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FD3542">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19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72EA5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消化内镜影像信息系统软件的日常故障处理</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6CD1C55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由于软件引起的一般信息系统故障处理。</w:t>
            </w:r>
          </w:p>
        </w:tc>
      </w:tr>
      <w:tr w14:paraId="0431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4E4DD8">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E7E92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电子申请单提取故障处理</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7F4B5AE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电子申请单无法提取或提取出错的情况处理。</w:t>
            </w:r>
          </w:p>
        </w:tc>
      </w:tr>
      <w:tr w14:paraId="4AEC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A539C6">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935958">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应用程序bug的处理</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CACF2CD">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出现应用程序BUG时，由医生反馈给项目场地负责工程师，工程师查找BUG原因，如果仍然无法找到原因，需要提交给公司开发，由开发在程序代码里寻找BUG，在最短时间内解决问题。</w:t>
            </w:r>
          </w:p>
        </w:tc>
      </w:tr>
      <w:tr w14:paraId="6F76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3975AE0">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22</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30041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应用程序的升级</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497DC709">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根据内镜科室使用情况，反馈的意见以及从其他医院反馈的有价值的功能扩展，公司会在维保期内提供免费同版本系统升级。</w:t>
            </w:r>
          </w:p>
        </w:tc>
      </w:tr>
      <w:tr w14:paraId="358D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C5234B">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23</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FF1F4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AA4A2F6">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每次软件升级前，必须与医院相关方沟通升级方案，得到同意后方可进行，并按升级报告要求履行升级的具体职责，完成升级，并保证系统稳定性。</w:t>
            </w:r>
          </w:p>
        </w:tc>
      </w:tr>
      <w:tr w14:paraId="4C45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5CA7D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2357BD">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应用程序使用指导</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28A0124">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项目场地负责工程师会不间断地培训全院医生，通过电话、开会等方式进行培训指导。</w:t>
            </w:r>
          </w:p>
        </w:tc>
      </w:tr>
      <w:tr w14:paraId="087C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00AD47">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25</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F7E7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图像采集故障处理</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52BFFBD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采集图像异常，如无信号，图像出现水波纹干扰，图像颜色异常。</w:t>
            </w:r>
          </w:p>
        </w:tc>
      </w:tr>
      <w:tr w14:paraId="3ED6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D8B52EF">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26</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5D76F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3817D9BA">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系统叫号程序出现叫号无声音，叫号显示屏不显示患者队列或显示队列异常等故障处理。</w:t>
            </w:r>
          </w:p>
        </w:tc>
      </w:tr>
      <w:tr w14:paraId="7D93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783882">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C9306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脚踏开关、视频线、采集卡故障处理</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7A59B105">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脚踏开关采图没有反应或脚踏开关控制线松动，视频线接头氧化、断裂、采集卡硬件损坏或采集卡驱动异常等故障处理。</w:t>
            </w:r>
          </w:p>
        </w:tc>
      </w:tr>
      <w:tr w14:paraId="067C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7CD280">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28</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1B3B0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系统巡检服务</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1B1DD715">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定期巡检：要求每季度一次的定期现场巡检，对用户应用软件的软硬件环境进行检查；及时发现系统隐患保障系统稳定运行，并出具系统巡检报告，该报告内容包含巡检结果以及巡检建议。但该检查必须经过采购人的许可。</w:t>
            </w:r>
          </w:p>
        </w:tc>
      </w:tr>
      <w:tr w14:paraId="37E0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40E9DF">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29</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D73830">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F4A9BF">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保证系统运行的稳定性，提前发现系统运行的隐患，巡检内容主要包括：</w:t>
            </w:r>
          </w:p>
          <w:p w14:paraId="4C82F97B">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系统运行日志的监控，设备内存、硬件负载、端口运行状态检查；</w:t>
            </w:r>
          </w:p>
          <w:p w14:paraId="6F7A691F">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系统运行状态信息记录、汇总，数据库定期备份；</w:t>
            </w:r>
          </w:p>
          <w:p w14:paraId="09C2F106">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发现故障后第一时间内通报相关人员；</w:t>
            </w:r>
          </w:p>
        </w:tc>
      </w:tr>
      <w:tr w14:paraId="2F92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2E3C96">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30</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276B14">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2FE9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r>
      <w:tr w14:paraId="536F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A2D505">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31</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D1CBA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11A9A4">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r>
      <w:tr w14:paraId="6CB9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34BD3E0">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32</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E2E087">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c>
          <w:tcPr>
            <w:tcW w:w="59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12B15E">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p>
        </w:tc>
      </w:tr>
      <w:tr w14:paraId="3A1A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4067F49F">
            <w:pPr>
              <w:widowControl/>
              <w:snapToGrid w:val="0"/>
              <w:spacing w:line="240" w:lineRule="auto"/>
              <w:ind w:left="0" w:leftChars="0" w:right="0" w:rightChars="0" w:firstLine="0" w:firstLineChars="0"/>
              <w:jc w:val="center"/>
              <w:rPr>
                <w:rFonts w:hint="default"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33</w:t>
            </w:r>
          </w:p>
        </w:tc>
        <w:tc>
          <w:tcPr>
            <w:tcW w:w="1586" w:type="dxa"/>
            <w:tcBorders>
              <w:top w:val="single" w:color="auto" w:sz="4" w:space="0"/>
              <w:left w:val="single" w:color="auto" w:sz="4" w:space="0"/>
              <w:bottom w:val="single" w:color="auto" w:sz="4" w:space="0"/>
              <w:right w:val="single" w:color="auto" w:sz="4" w:space="0"/>
            </w:tcBorders>
            <w:shd w:val="clear" w:color="auto" w:fill="auto"/>
            <w:vAlign w:val="center"/>
          </w:tcPr>
          <w:p w14:paraId="6314C1BC">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现场维护时的配件维修</w:t>
            </w:r>
          </w:p>
        </w:tc>
        <w:tc>
          <w:tcPr>
            <w:tcW w:w="5982" w:type="dxa"/>
            <w:tcBorders>
              <w:top w:val="single" w:color="auto" w:sz="4" w:space="0"/>
              <w:left w:val="single" w:color="auto" w:sz="4" w:space="0"/>
              <w:bottom w:val="single" w:color="auto" w:sz="4" w:space="0"/>
              <w:right w:val="single" w:color="auto" w:sz="4" w:space="0"/>
            </w:tcBorders>
            <w:shd w:val="clear" w:color="auto" w:fill="auto"/>
            <w:vAlign w:val="center"/>
          </w:tcPr>
          <w:p w14:paraId="4D63CD35">
            <w:pPr>
              <w:widowControl/>
              <w:snapToGrid w:val="0"/>
              <w:spacing w:line="240" w:lineRule="auto"/>
              <w:ind w:left="0" w:leftChars="0" w:right="0" w:rightChars="0" w:firstLine="0" w:firstLineChars="0"/>
              <w:jc w:val="left"/>
              <w:rPr>
                <w:rFonts w:hint="eastAsia" w:cs="宋体"/>
                <w:b w:val="0"/>
                <w:bCs w:val="0"/>
                <w:color w:val="FF0000"/>
                <w:kern w:val="0"/>
                <w:sz w:val="24"/>
                <w:szCs w:val="24"/>
                <w:lang w:val="en-US" w:eastAsia="zh-CN" w:bidi="ar-SA"/>
              </w:rPr>
            </w:pPr>
            <w:r>
              <w:rPr>
                <w:rFonts w:hint="eastAsia" w:cs="宋体"/>
                <w:b w:val="0"/>
                <w:bCs w:val="0"/>
                <w:color w:val="FF0000"/>
                <w:kern w:val="0"/>
                <w:sz w:val="24"/>
                <w:szCs w:val="24"/>
                <w:lang w:val="en-US" w:eastAsia="zh-CN" w:bidi="ar-SA"/>
              </w:rPr>
              <w:t>例如：损坏的信号线，终端电缆、采集卡、软件加密狗等硬件。</w:t>
            </w:r>
          </w:p>
        </w:tc>
      </w:tr>
    </w:tbl>
    <w:p w14:paraId="139D35C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（1）本项目不属于专门面向中小企业采购的项目。</w:t>
      </w:r>
    </w:p>
    <w:p w14:paraId="38066D5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（2）本项目需要落实的政府采购政策：《政府采购促进中小企业发展管理办法》（财库〔2020〕46号）、《关于进一步加大政府采购支持中小企业力度的通知》（财库〔2022〕19号）、《财政部 民政部 中国残疾人联合会关于促进残疾人就业政府采购政策的通知》（财库〔2017〕141号）、《关于政府采购支持监狱企业发展有关问题的通知》（财库〔2014〕68号）、《关于印发环境标志产品政府采购品目清单的通知》（财库〔2019〕18号）、《关于印发节能产品政府采购品目清单的通知》（财库〔2019〕19号）、《财政部 发展改革委 生态环境部 市场监管总局 关于调整优化节能产品、环境标志产品政府采购执行机制的通知》（财库〔2019〕9号）等，本项目小微企业价格扣除优惠比例：10%；</w:t>
      </w:r>
    </w:p>
    <w:p w14:paraId="4C6F77A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（二）采购标的需执行的国家相关标准、行业标准、地方标准或者其他标准、规范； </w:t>
      </w:r>
    </w:p>
    <w:p w14:paraId="6FCC9F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按照《中华人民共和国政府采购法》《中华人民共和国政府采购法实施条例》、《政府采购货物和服务招投标管理办法（财政部令第87号）》等有关规定及相关行业、地方或其他现行标准、规范执行。系统建设达到《网络安全等级保护基本要求（GB/T 22239-2019）》标准。</w:t>
      </w:r>
    </w:p>
    <w:p w14:paraId="0A6974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（三）采购标的需满足的质量、安全、技术规格、物理特性等要求； </w:t>
      </w:r>
    </w:p>
    <w:p w14:paraId="721FB08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 系统建设过程中，应注重各类数据的标准化、规范化，技术服务实现的功能必须满足用户的需求，质量达到现行合格标准，符合国家、行业、地方规定的质量和安全标准要求，满足国家对计算机信息化系统的规定和国家标准， 在质保期内，因国家政策的变动，应满足医院需求功能。</w:t>
      </w:r>
    </w:p>
    <w:p w14:paraId="682AA01E">
      <w:pPr>
        <w:pStyle w:val="9"/>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采购标的的数量、采购项目交付或者实施的时间和地点； </w:t>
      </w:r>
    </w:p>
    <w:p w14:paraId="15285CA7">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rightChars="0" w:firstLine="1200" w:firstLineChars="5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运维服务；交货地点：云南省第一人民医院用户指定地点。</w:t>
      </w:r>
    </w:p>
    <w:p w14:paraId="30B2FF8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FF0000"/>
          <w:kern w:val="0"/>
          <w:sz w:val="24"/>
          <w:szCs w:val="24"/>
          <w:lang w:val="en-US" w:eastAsia="zh-CN" w:bidi="ar-SA"/>
        </w:rPr>
        <w:t xml:space="preserve">（五）采购标的需满足的服务标准、期限、效率等要求； </w:t>
      </w:r>
    </w:p>
    <w:p w14:paraId="246C8D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80" w:firstLineChars="200"/>
        <w:jc w:val="left"/>
        <w:rPr>
          <w:rFonts w:hint="default" w:ascii="宋体" w:hAnsi="宋体" w:eastAsia="宋体" w:cs="宋体"/>
          <w:b w:val="0"/>
          <w:bCs w:val="0"/>
          <w:color w:val="FF000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 </w:t>
      </w:r>
      <w:r>
        <w:rPr>
          <w:rFonts w:hint="eastAsia" w:ascii="宋体" w:hAnsi="宋体" w:eastAsia="宋体" w:cs="宋体"/>
          <w:b w:val="0"/>
          <w:bCs w:val="0"/>
          <w:color w:val="FF0000"/>
          <w:kern w:val="0"/>
          <w:sz w:val="24"/>
          <w:szCs w:val="24"/>
          <w:lang w:val="en-US" w:eastAsia="zh-CN" w:bidi="ar-SA"/>
        </w:rPr>
        <w:t>中标人须提供3年的运维服务期限，自合同签订之日起，完成本项目相关的调研、运维服务。免费提供操作及维护培训，培训内容主要包括：系统总体功能介绍、内镜登记与检查预约操作、内镜影像采集与视频录制操作、报告编辑与发布、影像归档与病例调阅、系统日常维护及常见故障处理方法等；培训对象为医院内镜临床医师、医技操作人员、系统管理人员及相关业务人员；培训方式包括现场操作培训、集中授课、线上答疑指导等，确保医院相关人员能够正常操作使用系统、独立开展日常维护工作。按医院要求完成服务。</w:t>
      </w:r>
    </w:p>
    <w:p w14:paraId="6A0F19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 xml:space="preserve">（六）采购标的的验收标准： </w:t>
      </w:r>
    </w:p>
    <w:p w14:paraId="384852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right="0" w:firstLine="420" w:firstLineChars="0"/>
        <w:jc w:val="left"/>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14:paraId="131B778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25" w:lineRule="atLeast"/>
        <w:ind w:left="0" w:right="0" w:firstLine="555"/>
        <w:jc w:val="left"/>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color w:val="FF0000"/>
          <w:kern w:val="0"/>
          <w:sz w:val="24"/>
          <w:szCs w:val="24"/>
          <w:lang w:val="en-US" w:eastAsia="zh-CN" w:bidi="ar-SA"/>
        </w:rPr>
        <w:t>（七）采购标的的其他技术、服务等要求。</w:t>
      </w:r>
      <w:r>
        <w:rPr>
          <w:rFonts w:hint="eastAsia" w:ascii="宋体" w:hAnsi="宋体" w:eastAsia="宋体" w:cs="宋体"/>
          <w:b w:val="0"/>
          <w:bCs w:val="0"/>
          <w:kern w:val="0"/>
          <w:sz w:val="24"/>
          <w:szCs w:val="24"/>
          <w:lang w:val="en-US" w:eastAsia="zh-CN" w:bidi="ar-SA"/>
        </w:rPr>
        <w:t xml:space="preserve"> </w:t>
      </w:r>
    </w:p>
    <w:p w14:paraId="178AFA8E">
      <w:pPr>
        <w:keepNext w:val="0"/>
        <w:keepLines w:val="0"/>
        <w:pageBreakBefore w:val="0"/>
        <w:widowControl/>
        <w:kinsoku/>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按医院要求免费完成医院相关系统及信息集成平台的接口对接工作。提供专业的售后服务支持和保证，出现故障</w:t>
      </w:r>
      <w:r>
        <w:rPr>
          <w:rFonts w:hint="eastAsia" w:ascii="宋体" w:hAnsi="宋体" w:eastAsia="宋体" w:cs="宋体"/>
          <w:b w:val="0"/>
          <w:bCs w:val="0"/>
          <w:color w:val="FF0000"/>
          <w:kern w:val="0"/>
          <w:sz w:val="24"/>
          <w:szCs w:val="24"/>
          <w:lang w:val="en-US" w:eastAsia="zh-CN" w:bidi="ar-SA"/>
        </w:rPr>
        <w:t>30</w:t>
      </w:r>
      <w:r>
        <w:rPr>
          <w:rFonts w:hint="eastAsia" w:ascii="宋体" w:hAnsi="宋体" w:eastAsia="宋体" w:cs="宋体"/>
          <w:b w:val="0"/>
          <w:bCs w:val="0"/>
          <w:kern w:val="0"/>
          <w:sz w:val="24"/>
          <w:szCs w:val="24"/>
          <w:lang w:val="en-US" w:eastAsia="zh-CN" w:bidi="ar-SA"/>
        </w:rPr>
        <w:t>分钟响应，</w:t>
      </w:r>
      <w:r>
        <w:rPr>
          <w:rFonts w:hint="eastAsia" w:ascii="宋体" w:hAnsi="宋体" w:eastAsia="宋体" w:cs="宋体"/>
          <w:b w:val="0"/>
          <w:bCs w:val="0"/>
          <w:color w:val="FF0000"/>
          <w:kern w:val="0"/>
          <w:sz w:val="24"/>
          <w:szCs w:val="24"/>
          <w:lang w:val="en-US" w:eastAsia="zh-CN" w:bidi="ar-SA"/>
        </w:rPr>
        <w:t>4</w:t>
      </w:r>
      <w:r>
        <w:rPr>
          <w:rFonts w:hint="eastAsia" w:ascii="宋体" w:hAnsi="宋体" w:eastAsia="宋体" w:cs="宋体"/>
          <w:b w:val="0"/>
          <w:bCs w:val="0"/>
          <w:kern w:val="0"/>
          <w:sz w:val="24"/>
          <w:szCs w:val="24"/>
          <w:lang w:val="en-US" w:eastAsia="zh-CN" w:bidi="ar-SA"/>
        </w:rPr>
        <w:t>小时解决问题。</w:t>
      </w:r>
    </w:p>
    <w:p w14:paraId="1ED4764B">
      <w:pPr>
        <w:keepNext w:val="0"/>
        <w:keepLines w:val="0"/>
        <w:pageBreakBefore w:val="0"/>
        <w:widowControl/>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（八）实施及服务基本要求</w:t>
      </w:r>
    </w:p>
    <w:p w14:paraId="4EE6E208">
      <w:pPr>
        <w:keepNext w:val="0"/>
        <w:keepLines w:val="0"/>
        <w:pageBreakBefore w:val="0"/>
        <w:widowControl/>
        <w:kinsoku/>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以下5项实施及服务要求，每一项均需要投标人提供承诺函：</w:t>
      </w:r>
    </w:p>
    <w:p w14:paraId="10AF4EB8">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客户端安装使用无数量限制，免费开放一定代码权限；投标人提供系统运维服务培训，保证医院负责信息系统的相关技术人员了解项目的主要功能和工作流程，熟悉数据结构，掌握公共系统维护工具，能参与项目维护及研发工作。</w:t>
      </w:r>
    </w:p>
    <w:p w14:paraId="685C3292">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本次投标所提供的系统、及运维期服务能与采购人现使用的相关系统、集成平台、医院微信公众号及医院因业务需求需要对接的系统等免费无缝集成，无条件免费开放所有接口和数据结构，并完成相关接口开发，</w:t>
      </w:r>
      <w:r>
        <w:rPr>
          <w:rFonts w:hint="default" w:ascii="宋体" w:hAnsi="宋体" w:eastAsia="宋体" w:cs="宋体"/>
          <w:color w:val="000000"/>
          <w:kern w:val="0"/>
          <w:sz w:val="24"/>
          <w:szCs w:val="24"/>
          <w:lang w:val="en-US" w:eastAsia="zh-CN"/>
        </w:rPr>
        <w:t>对接本项目涉及到与第三方软件业务系统所发生的</w:t>
      </w:r>
      <w:r>
        <w:rPr>
          <w:rFonts w:hint="eastAsia" w:ascii="宋体" w:hAnsi="宋体" w:eastAsia="宋体" w:cs="宋体"/>
          <w:color w:val="000000"/>
          <w:kern w:val="0"/>
          <w:sz w:val="24"/>
          <w:szCs w:val="24"/>
          <w:lang w:val="en-US" w:eastAsia="zh-CN"/>
        </w:rPr>
        <w:t>人工、联调、开发、修复、二次更改等一系列</w:t>
      </w:r>
      <w:r>
        <w:rPr>
          <w:rFonts w:hint="default" w:ascii="宋体" w:hAnsi="宋体" w:eastAsia="宋体" w:cs="宋体"/>
          <w:color w:val="000000"/>
          <w:kern w:val="0"/>
          <w:sz w:val="24"/>
          <w:szCs w:val="24"/>
          <w:lang w:val="en-US" w:eastAsia="zh-CN"/>
        </w:rPr>
        <w:t>接口费用</w:t>
      </w:r>
      <w:r>
        <w:rPr>
          <w:rFonts w:hint="eastAsia" w:ascii="宋体" w:hAnsi="宋体" w:eastAsia="宋体" w:cs="宋体"/>
          <w:color w:val="000000"/>
          <w:kern w:val="0"/>
          <w:sz w:val="24"/>
          <w:szCs w:val="24"/>
          <w:lang w:val="en-US" w:eastAsia="zh-CN"/>
        </w:rPr>
        <w:t>（包干）</w:t>
      </w:r>
      <w:r>
        <w:rPr>
          <w:rFonts w:hint="default" w:ascii="宋体" w:hAnsi="宋体" w:eastAsia="宋体" w:cs="宋体"/>
          <w:color w:val="000000"/>
          <w:kern w:val="0"/>
          <w:sz w:val="24"/>
          <w:szCs w:val="24"/>
          <w:lang w:val="en-US" w:eastAsia="zh-CN"/>
        </w:rPr>
        <w:t>由投标人全额承担</w:t>
      </w:r>
      <w:r>
        <w:rPr>
          <w:rFonts w:hint="eastAsia" w:ascii="宋体" w:hAnsi="宋体" w:eastAsia="宋体" w:cs="宋体"/>
          <w:color w:val="000000"/>
          <w:kern w:val="0"/>
          <w:sz w:val="24"/>
          <w:szCs w:val="24"/>
          <w:lang w:val="en-US" w:eastAsia="zh-CN"/>
        </w:rPr>
        <w:t>；</w:t>
      </w:r>
    </w:p>
    <w:p w14:paraId="022410C5">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b w:val="0"/>
          <w:bCs w:val="0"/>
          <w:color w:val="000000"/>
          <w:kern w:val="0"/>
          <w:sz w:val="24"/>
          <w:szCs w:val="24"/>
          <w:highlight w:val="none"/>
          <w:lang w:val="en-US" w:eastAsia="zh-CN"/>
        </w:rPr>
        <w:t>.本次投标系统及</w:t>
      </w:r>
      <w:r>
        <w:rPr>
          <w:rFonts w:hint="eastAsia" w:ascii="Segoe UI" w:hAnsi="Segoe UI" w:eastAsia="宋体" w:cs="Segoe UI"/>
          <w:b w:val="0"/>
          <w:bCs w:val="0"/>
          <w:i w:val="0"/>
          <w:iCs w:val="0"/>
          <w:caps w:val="0"/>
          <w:color w:val="0F1115"/>
          <w:spacing w:val="0"/>
          <w:sz w:val="24"/>
          <w:szCs w:val="24"/>
          <w:highlight w:val="none"/>
          <w:shd w:val="clear" w:color="auto" w:fill="FFFFFF"/>
          <w:lang w:val="en-US" w:eastAsia="zh-CN"/>
        </w:rPr>
        <w:t>运维服务期内</w:t>
      </w:r>
      <w:r>
        <w:rPr>
          <w:rFonts w:hint="eastAsia" w:ascii="Segoe UI" w:hAnsi="Segoe UI" w:eastAsia="Segoe UI" w:cs="Segoe UI"/>
          <w:b w:val="0"/>
          <w:bCs w:val="0"/>
          <w:i w:val="0"/>
          <w:iCs w:val="0"/>
          <w:caps w:val="0"/>
          <w:color w:val="0F1115"/>
          <w:spacing w:val="0"/>
          <w:sz w:val="24"/>
          <w:szCs w:val="24"/>
          <w:highlight w:val="none"/>
          <w:shd w:val="clear" w:color="auto" w:fill="FFFFFF"/>
        </w:rPr>
        <w:t>遵循</w:t>
      </w:r>
      <w:r>
        <w:rPr>
          <w:rFonts w:hint="eastAsia" w:ascii="宋体" w:hAnsi="宋体" w:eastAsia="宋体" w:cs="宋体"/>
          <w:color w:val="000000"/>
          <w:kern w:val="0"/>
          <w:sz w:val="24"/>
          <w:szCs w:val="24"/>
          <w:highlight w:val="none"/>
          <w:lang w:val="en-US" w:eastAsia="zh-CN"/>
        </w:rPr>
        <w:t>《</w:t>
      </w:r>
      <w:r>
        <w:rPr>
          <w:rFonts w:hint="eastAsia" w:ascii="宋体" w:hAnsi="宋体" w:eastAsia="宋体" w:cs="宋体"/>
          <w:color w:val="000000"/>
          <w:kern w:val="0"/>
          <w:sz w:val="24"/>
          <w:szCs w:val="24"/>
          <w:lang w:val="en-US" w:eastAsia="zh-CN"/>
        </w:rPr>
        <w:t>信息安全技术网络安全等级保护基本要求》（GB/T 22239-2019）标准要求，内置合规防护模块，具备对应安全防护能力，支持用户按等保测评标准进行整改；</w:t>
      </w:r>
    </w:p>
    <w:p w14:paraId="5A9DC650">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4.投标人在</w:t>
      </w:r>
      <w:r>
        <w:rPr>
          <w:rFonts w:ascii="宋体" w:hAnsi="宋体" w:eastAsia="宋体" w:cs="宋体"/>
          <w:sz w:val="24"/>
          <w:szCs w:val="24"/>
        </w:rPr>
        <w:t>系统建设</w:t>
      </w:r>
      <w:r>
        <w:rPr>
          <w:rFonts w:hint="eastAsia" w:ascii="宋体" w:hAnsi="宋体" w:eastAsia="宋体" w:cs="宋体"/>
          <w:sz w:val="24"/>
          <w:szCs w:val="24"/>
          <w:lang w:val="en-US" w:eastAsia="zh-CN"/>
        </w:rPr>
        <w:t>及</w:t>
      </w:r>
      <w:r>
        <w:rPr>
          <w:rFonts w:ascii="宋体" w:hAnsi="宋体" w:eastAsia="宋体" w:cs="宋体"/>
          <w:sz w:val="24"/>
          <w:szCs w:val="24"/>
        </w:rPr>
        <w:t>运维服务期内</w:t>
      </w:r>
      <w:r>
        <w:rPr>
          <w:rFonts w:hint="eastAsia" w:ascii="宋体" w:hAnsi="宋体" w:eastAsia="宋体" w:cs="宋体"/>
          <w:sz w:val="24"/>
          <w:szCs w:val="24"/>
          <w:lang w:val="en-US" w:eastAsia="zh-CN"/>
        </w:rPr>
        <w:t>与</w:t>
      </w:r>
      <w:r>
        <w:rPr>
          <w:rFonts w:hint="eastAsia" w:ascii="宋体" w:hAnsi="宋体" w:eastAsia="宋体" w:cs="宋体"/>
          <w:color w:val="000000"/>
          <w:kern w:val="0"/>
          <w:sz w:val="24"/>
          <w:szCs w:val="24"/>
          <w:lang w:val="en-US" w:eastAsia="zh-CN"/>
        </w:rPr>
        <w:t>医院在用或新建的各系统按医院要求免费对接，不限接口形式；</w:t>
      </w:r>
    </w:p>
    <w:p w14:paraId="70D6CD32">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5.投标人在</w:t>
      </w:r>
      <w:r>
        <w:rPr>
          <w:rFonts w:ascii="宋体" w:hAnsi="宋体" w:eastAsia="宋体" w:cs="宋体"/>
          <w:sz w:val="24"/>
          <w:szCs w:val="24"/>
        </w:rPr>
        <w:t>系统建设</w:t>
      </w:r>
      <w:r>
        <w:rPr>
          <w:rFonts w:hint="eastAsia" w:ascii="宋体" w:hAnsi="宋体" w:eastAsia="宋体" w:cs="宋体"/>
          <w:sz w:val="24"/>
          <w:szCs w:val="24"/>
          <w:lang w:val="en-US" w:eastAsia="zh-CN"/>
        </w:rPr>
        <w:t>及</w:t>
      </w:r>
      <w:r>
        <w:rPr>
          <w:rFonts w:ascii="宋体" w:hAnsi="宋体" w:eastAsia="宋体" w:cs="宋体"/>
          <w:sz w:val="24"/>
          <w:szCs w:val="24"/>
        </w:rPr>
        <w:t>运维服务期内</w:t>
      </w:r>
      <w:r>
        <w:rPr>
          <w:rFonts w:hint="eastAsia" w:ascii="宋体" w:hAnsi="宋体" w:eastAsia="宋体" w:cs="宋体"/>
          <w:color w:val="000000"/>
          <w:kern w:val="0"/>
          <w:sz w:val="24"/>
          <w:szCs w:val="24"/>
          <w:lang w:val="en-US" w:eastAsia="zh-CN"/>
        </w:rPr>
        <w:t>要求免费配合医院完成国家级、省级评审、评级等迎检及建设相关工作。</w:t>
      </w:r>
    </w:p>
    <w:p w14:paraId="5489CDC1">
      <w:pPr>
        <w:keepNext w:val="0"/>
        <w:keepLines w:val="0"/>
        <w:pageBreakBefore w:val="0"/>
        <w:widowControl/>
        <w:kinsoku/>
        <w:overflowPunct/>
        <w:topLinePunct w:val="0"/>
        <w:autoSpaceDE/>
        <w:autoSpaceDN/>
        <w:bidi w:val="0"/>
        <w:adjustRightInd/>
        <w:snapToGrid/>
        <w:spacing w:line="360" w:lineRule="auto"/>
        <w:ind w:left="0" w:leftChars="0" w:firstLine="420" w:firstLineChars="175"/>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6.</w:t>
      </w:r>
      <w:r>
        <w:rPr>
          <w:rFonts w:hint="eastAsia" w:ascii="宋体" w:hAnsi="宋体" w:eastAsia="宋体" w:cs="宋体"/>
          <w:color w:val="000000"/>
          <w:kern w:val="0"/>
          <w:sz w:val="24"/>
          <w:szCs w:val="24"/>
          <w:lang w:val="en-US" w:eastAsia="zh-CN"/>
        </w:rPr>
        <w:t>投标人在系统建设及运维服务期内，免费配合完成该项目涉及的系统与服务能够与医院及医院指定院区等信息化发展要求的内容进行融合，该系统与服务在医院及医院指定院区免费使用并同步数据。</w:t>
      </w:r>
    </w:p>
    <w:p w14:paraId="42FBBF2B">
      <w:pPr>
        <w:widowControl/>
        <w:spacing w:line="360" w:lineRule="auto"/>
        <w:ind w:firstLine="480" w:firstLineChars="200"/>
        <w:jc w:val="left"/>
        <w:rPr>
          <w:rFonts w:ascii="宋体" w:hAnsi="宋体" w:eastAsia="宋体" w:cs="宋体"/>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EAC51"/>
    <w:multiLevelType w:val="singleLevel"/>
    <w:tmpl w:val="316EAC5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yMGYwM2QzZjc1MDNkYTYyYjY4NjQwMTJlNzUzMzgifQ=="/>
  </w:docVars>
  <w:rsids>
    <w:rsidRoot w:val="00383267"/>
    <w:rsid w:val="000211F9"/>
    <w:rsid w:val="000918BF"/>
    <w:rsid w:val="00220FDB"/>
    <w:rsid w:val="00361F10"/>
    <w:rsid w:val="00383267"/>
    <w:rsid w:val="003E2F65"/>
    <w:rsid w:val="004C3ADA"/>
    <w:rsid w:val="006A3964"/>
    <w:rsid w:val="007046FE"/>
    <w:rsid w:val="007431C6"/>
    <w:rsid w:val="00A16B85"/>
    <w:rsid w:val="00A523B9"/>
    <w:rsid w:val="00EE5246"/>
    <w:rsid w:val="00FD71AB"/>
    <w:rsid w:val="025B14EB"/>
    <w:rsid w:val="031F3FCE"/>
    <w:rsid w:val="0B5C5AE1"/>
    <w:rsid w:val="0D0A17F5"/>
    <w:rsid w:val="0D404CC8"/>
    <w:rsid w:val="12261224"/>
    <w:rsid w:val="139D423C"/>
    <w:rsid w:val="14E34515"/>
    <w:rsid w:val="15607770"/>
    <w:rsid w:val="16CC4C31"/>
    <w:rsid w:val="17A634EE"/>
    <w:rsid w:val="24FD5DE6"/>
    <w:rsid w:val="2ED846DA"/>
    <w:rsid w:val="354518AD"/>
    <w:rsid w:val="3AF32EB6"/>
    <w:rsid w:val="3BE37722"/>
    <w:rsid w:val="3C6C15DF"/>
    <w:rsid w:val="44963B40"/>
    <w:rsid w:val="48B56CDA"/>
    <w:rsid w:val="54AE50FA"/>
    <w:rsid w:val="54C87158"/>
    <w:rsid w:val="591F64C4"/>
    <w:rsid w:val="62EA0E9B"/>
    <w:rsid w:val="6718682A"/>
    <w:rsid w:val="6840013F"/>
    <w:rsid w:val="688E711F"/>
    <w:rsid w:val="6BDA74D4"/>
    <w:rsid w:val="775015E2"/>
    <w:rsid w:val="77682CF7"/>
    <w:rsid w:val="787078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link w:val="13"/>
    <w:autoRedefine/>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1">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annotation text"/>
    <w:basedOn w:val="1"/>
    <w:qFormat/>
    <w:uiPriority w:val="0"/>
    <w:pPr>
      <w:jc w:val="left"/>
    </w:pPr>
    <w:rPr>
      <w:kern w:val="0"/>
      <w:sz w:val="20"/>
    </w:rPr>
  </w:style>
  <w:style w:type="paragraph" w:styleId="6">
    <w:name w:val="Body Text Indent"/>
    <w:basedOn w:val="1"/>
    <w:autoRedefine/>
    <w:semiHidden/>
    <w:unhideWhenUsed/>
    <w:qFormat/>
    <w:uiPriority w:val="99"/>
    <w:pPr>
      <w:spacing w:line="360" w:lineRule="auto"/>
      <w:ind w:firstLine="570"/>
    </w:pPr>
    <w:rPr>
      <w:sz w:val="24"/>
      <w:szCs w:val="24"/>
    </w:r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22"/>
    <w:rPr>
      <w:b/>
      <w:bCs/>
    </w:rPr>
  </w:style>
  <w:style w:type="character" w:customStyle="1" w:styleId="13">
    <w:name w:val="标题 4 字符"/>
    <w:basedOn w:val="11"/>
    <w:link w:val="4"/>
    <w:autoRedefine/>
    <w:qFormat/>
    <w:uiPriority w:val="9"/>
    <w:rPr>
      <w:rFonts w:ascii="宋体" w:hAnsi="宋体" w:eastAsia="宋体" w:cs="宋体"/>
      <w:b/>
      <w:bCs/>
      <w:kern w:val="0"/>
      <w:sz w:val="24"/>
      <w:szCs w:val="24"/>
    </w:rPr>
  </w:style>
  <w:style w:type="character" w:customStyle="1" w:styleId="14">
    <w:name w:val="页眉 字符"/>
    <w:basedOn w:val="11"/>
    <w:link w:val="8"/>
    <w:autoRedefine/>
    <w:qFormat/>
    <w:uiPriority w:val="99"/>
    <w:rPr>
      <w:sz w:val="18"/>
      <w:szCs w:val="18"/>
    </w:rPr>
  </w:style>
  <w:style w:type="character" w:customStyle="1" w:styleId="15">
    <w:name w:val="页脚 字符"/>
    <w:basedOn w:val="11"/>
    <w:link w:val="7"/>
    <w:autoRedefine/>
    <w:qFormat/>
    <w:uiPriority w:val="99"/>
    <w:rPr>
      <w:sz w:val="18"/>
      <w:szCs w:val="18"/>
    </w:rPr>
  </w:style>
  <w:style w:type="paragraph" w:styleId="16">
    <w:name w:val="List Paragraph"/>
    <w:basedOn w:val="1"/>
    <w:autoRedefine/>
    <w:qFormat/>
    <w:uiPriority w:val="34"/>
    <w:pPr>
      <w:ind w:firstLine="420" w:firstLineChars="200"/>
    </w:pPr>
  </w:style>
  <w:style w:type="paragraph" w:customStyle="1" w:styleId="17">
    <w:name w:val="标准正文"/>
    <w:basedOn w:val="6"/>
    <w:autoRedefine/>
    <w:qFormat/>
    <w:uiPriority w:val="0"/>
    <w:pPr>
      <w:spacing w:before="60" w:after="60"/>
      <w:ind w:firstLine="482"/>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346bcaf3-0f20-4d9d-ab15-e80f0e21ef2f</errorID>
      <errorWord>平台</errorWord>
      <group>L1_Punc</group>
      <groupName>标点问题</groupName>
      <ability>L2_Punc_CN</ability>
      <abilityName>标点符号问题</abilityName>
      <candidateList>
        <item>：平台</item>
      </candidateList>
      <explain/>
      <paraID>73C0F2C1</paraID>
      <start>4</start>
      <end>6</end>
      <status>unmodified</status>
      <modifiedWord/>
      <trackRevisions>false</trackRevisions>
    </reviewItem>
    <reviewItem>
      <errorID>f49129b3-7af9-49b0-bcb2-002ebe63e0b0</errorID>
      <errorWord>) </errorWord>
      <group>L1_Punc</group>
      <groupName>标点问题</groupName>
      <ability>L2_Punc_CN</ability>
      <abilityName>标点符号问题</abilityName>
      <candidateList>
        <item>）</item>
      </candidateList>
      <explain/>
      <paraID>6DE10C8F</paraID>
      <start>2</start>
      <end>4</end>
      <status>unmodified</status>
      <modifiedWord/>
      <trackRevisions>false</trackRevisions>
    </reviewItem>
    <reviewItem>
      <errorID>a169f2da-27de-477d-b7fb-4afd648a70b8</errorID>
      <errorWord>；</errorWord>
      <group>L1_Punc</group>
      <groupName>标点问题</groupName>
      <ability>L2_Punc_CN</ability>
      <abilityName>标点符号问题</abilityName>
      <candidateList>
        <item>：</item>
      </candidateList>
      <explain/>
      <paraID>15285CA7</paraID>
      <start>4</start>
      <end>5</end>
      <status>unmodified</status>
      <modifiedWord/>
      <trackRevisions>false</trackRevisions>
    </reviewItem>
    <reviewItem>
      <errorID>77a6dc11-817e-4e2d-8e89-5830c52b2a8f</errorID>
      <errorWord>▲1.</errorWord>
      <group>L1_Format</group>
      <groupName>格式问题</groupName>
      <ability>L2_Ordinal</ability>
      <abilityName>序号格式</abilityName>
      <candidateList>
        <item>1.</item>
      </candidateList>
      <explain>标题顺序错误，请检查标题顺序是否合理。</explain>
      <paraID>10AF4EB8</paraID>
      <start>0</start>
      <end>3</end>
      <status>unmodified</status>
      <modifiedWord/>
      <trackRevisions>false</trackRevisions>
    </reviewItem>
    <reviewItem>
      <errorID>68237e86-c6b6-4f28-aaeb-84570e57fe64</errorID>
      <errorWord>▲2.</errorWord>
      <group>L1_Format</group>
      <groupName>格式问题</groupName>
      <ability>L2_Ordinal</ability>
      <abilityName>序号格式</abilityName>
      <candidateList>
        <item>2.</item>
      </candidateList>
      <explain>标题顺序错误，请检查标题顺序是否合理。</explain>
      <paraID>685C3292</paraID>
      <start>0</start>
      <end>3</end>
      <status>unmodified</status>
      <modifiedWord/>
      <trackRevisions>false</trackRevisions>
    </reviewItem>
    <reviewItem>
      <errorID>8f0c5bfa-abb6-468c-8838-38af54e6364f</errorID>
      <errorWord>▲3.</errorWord>
      <group>L1_Format</group>
      <groupName>格式问题</groupName>
      <ability>L2_Ordinal</ability>
      <abilityName>序号格式</abilityName>
      <candidateList>
        <item>3.</item>
      </candidateList>
      <explain>标题顺序错误，请检查标题顺序是否合理。</explain>
      <paraID> 22410C5</paraID>
      <start>0</start>
      <end>3</end>
      <status>unmodified</status>
      <modifiedWord/>
      <trackRevisions>false</trackRevisions>
    </reviewItem>
    <reviewItem>
      <errorID>4661b33d-3271-44ae-b60f-0f64f8bbebe8</errorID>
      <errorWord>▲4.</errorWord>
      <group>L1_Format</group>
      <groupName>格式问题</groupName>
      <ability>L2_Ordinal</ability>
      <abilityName>序号格式</abilityName>
      <candidateList>
        <item>4.</item>
      </candidateList>
      <explain>标题顺序错误，请检查标题顺序是否合理。</explain>
      <paraID>5A9DC650</paraID>
      <start>0</start>
      <end>3</end>
      <status>unmodified</status>
      <modifiedWord/>
      <trackRevisions>false</trackRevisions>
    </reviewItem>
    <reviewItem>
      <errorID>820da400-3e2e-40c7-9b08-2b19d3cccd9e</errorID>
      <errorWord>▲5.</errorWord>
      <group>L1_Format</group>
      <groupName>格式问题</groupName>
      <ability>L2_Ordinal</ability>
      <abilityName>序号格式</abilityName>
      <candidateList>
        <item>5.</item>
      </candidateList>
      <explain>标题顺序错误，请检查标题顺序是否合理。</explain>
      <paraID>70D6CD32</paraID>
      <start>0</start>
      <end>3</end>
      <status>unmodified</status>
      <modifiedWord/>
      <trackRevisions>false</trackRevisions>
    </reviewItem>
    <reviewItem>
      <errorID>6fac3563-bbb9-4b7a-9b77-12935598da82</errorID>
      <errorWord>▲6.</errorWord>
      <group>L1_Format</group>
      <groupName>格式问题</groupName>
      <ability>L2_Ordinal</ability>
      <abilityName>序号格式</abilityName>
      <candidateList>
        <item>6.</item>
      </candidateList>
      <explain>标题顺序错误，请检查标题顺序是否合理。</explain>
      <paraID>5489CDC1</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433d356-f1d5-4c2d-ac21-4813e80750bb}">
  <ds:schemaRefs/>
</ds:datastoreItem>
</file>

<file path=docProps/app.xml><?xml version="1.0" encoding="utf-8"?>
<Properties xmlns="http://schemas.openxmlformats.org/officeDocument/2006/extended-properties" xmlns:vt="http://schemas.openxmlformats.org/officeDocument/2006/docPropsVTypes">
  <Template>Normal.dotm</Template>
  <Pages>7</Pages>
  <Words>4232</Words>
  <Characters>4354</Characters>
  <Lines>10</Lines>
  <Paragraphs>3</Paragraphs>
  <TotalTime>24</TotalTime>
  <ScaleCrop>false</ScaleCrop>
  <LinksUpToDate>false</LinksUpToDate>
  <CharactersWithSpaces>4380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2021-06-16T09:43:00Z</dcterms:created>
  <dc:creator>石 霄</dc:creator>
  <cp:lastModifiedBy>赵亚妮</cp:lastModifiedBy>
  <dcterms:modified xsi:type="dcterms:W3CDTF">2026-09-18T10:56:12Z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2A70D88F6CEA47A5953F4488D7DF1E3E_13</vt:lpwstr>
  </property>
  <property fmtid="{D5CDD505-2E9C-101B-9397-08002B2CF9AE}" pid="4" name="KSOTemplateDocerSaveRecord">
    <vt:lpwstr>eyJoZGlkIjoiZjhhMDAzYjgyZDI2NDI1MTAzMzIyZTQ2MWVjMTQ0ODMiLCJ1c2VySWQiOiIxNDc2MTI4NzQ5In0=</vt:lpwstr>
  </property>
</Properties>
</file>