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8D87A">
      <w:pPr>
        <w:spacing w:before="300" w:after="120" w:line="288" w:lineRule="auto"/>
        <w:ind w:left="0"/>
        <w:jc w:val="left"/>
        <w:outlineLvl w:val="2"/>
        <w:rPr>
          <w:rFonts w:ascii="Arial" w:hAnsi="Arial" w:eastAsia="等线" w:cs="Arial"/>
          <w:b/>
          <w:sz w:val="30"/>
        </w:rPr>
      </w:pPr>
      <w:bookmarkStart w:id="0" w:name="heading_1"/>
      <w:r>
        <w:rPr>
          <w:rFonts w:hint="eastAsia" w:ascii="宋体" w:hAnsi="宋体" w:eastAsia="宋体"/>
          <w:b/>
          <w:bCs/>
          <w:color w:val="000000" w:themeColor="text1"/>
          <w:kern w:val="0"/>
          <w:sz w:val="28"/>
          <w:szCs w:val="28"/>
          <w:u w:val="none"/>
          <w:lang w:val="en-US" w:eastAsia="zh-CN"/>
          <w14:textFill>
            <w14:solidFill>
              <w14:schemeClr w14:val="tx1"/>
            </w14:solidFill>
          </w14:textFill>
        </w:rPr>
        <w:t>消化疾病质控管理云平台服务项目（2027-2029）</w:t>
      </w:r>
    </w:p>
    <w:p w14:paraId="61F90229">
      <w:pPr>
        <w:spacing w:before="300" w:after="120" w:line="288" w:lineRule="auto"/>
        <w:ind w:left="0"/>
        <w:jc w:val="left"/>
        <w:outlineLvl w:val="2"/>
      </w:pPr>
      <w:r>
        <w:rPr>
          <w:rFonts w:ascii="Arial" w:hAnsi="Arial" w:eastAsia="等线" w:cs="Arial"/>
          <w:b/>
          <w:sz w:val="30"/>
        </w:rPr>
        <w:t>（一）项目需求理解与分析（核心重点）</w:t>
      </w:r>
      <w:bookmarkEnd w:id="0"/>
    </w:p>
    <w:p w14:paraId="26C4BB60">
      <w:pPr>
        <w:spacing w:before="120" w:after="120" w:line="288" w:lineRule="auto"/>
        <w:ind w:left="0"/>
        <w:jc w:val="left"/>
      </w:pPr>
      <w:r>
        <w:rPr>
          <w:rFonts w:ascii="Arial" w:hAnsi="Arial" w:eastAsia="等线" w:cs="Arial"/>
          <w:sz w:val="22"/>
        </w:rPr>
        <w:t>围绕项目目标及现存问题，从多维度明确需求，具体重点如下：</w:t>
      </w:r>
    </w:p>
    <w:p w14:paraId="7C1B0011">
      <w:pPr>
        <w:numPr>
          <w:ilvl w:val="0"/>
          <w:numId w:val="1"/>
        </w:numPr>
        <w:spacing w:before="120" w:after="120" w:line="288" w:lineRule="auto"/>
        <w:ind w:left="0"/>
        <w:jc w:val="left"/>
      </w:pPr>
      <w:r>
        <w:rPr>
          <w:rFonts w:ascii="Arial" w:hAnsi="Arial" w:eastAsia="等线" w:cs="Arial"/>
          <w:b/>
          <w:sz w:val="22"/>
        </w:rPr>
        <w:t>业务需求</w:t>
      </w:r>
      <w:r>
        <w:rPr>
          <w:rFonts w:ascii="Arial" w:hAnsi="Arial" w:eastAsia="等线" w:cs="Arial"/>
          <w:sz w:val="22"/>
        </w:rPr>
        <w:t>：结合医院消化疾病质控职能定位及云南省质控工作社会服务功能需要，本项目需保障平台全年稳定运行，实现质控数据的高效汇总、准确上报及现场督查的快速处理</w:t>
      </w:r>
      <w:r>
        <w:rPr>
          <w:rFonts w:hint="eastAsia" w:eastAsia="等线" w:cs="Arial"/>
          <w:sz w:val="22"/>
          <w:lang w:eastAsia="zh-CN"/>
        </w:rPr>
        <w:t>。</w:t>
      </w:r>
      <w:r>
        <w:rPr>
          <w:rFonts w:ascii="Arial" w:hAnsi="Arial" w:eastAsia="等线" w:cs="Arial"/>
          <w:sz w:val="22"/>
        </w:rPr>
        <w:t>按要求完成消化内镜</w:t>
      </w:r>
      <w:bookmarkStart w:id="3" w:name="_GoBack"/>
      <w:bookmarkEnd w:id="3"/>
      <w:r>
        <w:rPr>
          <w:rFonts w:ascii="Arial" w:hAnsi="Arial" w:eastAsia="等线" w:cs="Arial"/>
          <w:sz w:val="22"/>
        </w:rPr>
        <w:t>18项质控指标、急性胰腺炎12项质控指标等数据的实时汇总、分析及上报，保障平台线上督查填报系统功能正常，实现督查数据快速统计、报告生成及反馈。平台用户包括管理用户（医院质控科人员）、业务用户（各医疗机构填报人员、质控专家），用户数量约300个，测算依据为云南省参与消化疾病质控工作的医疗机构数量。应用场景包括日常数据填报、指标分析、定时上报、现场督查填报、数据对比分析等，需实现各场景下的功能流畅使用，满足国家及省级质控指标的上报要求。</w:t>
      </w:r>
    </w:p>
    <w:p w14:paraId="22154E43">
      <w:pPr>
        <w:numPr>
          <w:ilvl w:val="0"/>
          <w:numId w:val="2"/>
        </w:numPr>
        <w:spacing w:before="120" w:after="120" w:line="288" w:lineRule="auto"/>
        <w:ind w:left="0"/>
        <w:jc w:val="left"/>
      </w:pPr>
      <w:r>
        <w:rPr>
          <w:rFonts w:ascii="Arial" w:hAnsi="Arial" w:eastAsia="等线" w:cs="Arial"/>
          <w:b/>
          <w:sz w:val="22"/>
        </w:rPr>
        <w:t>基础设施需求</w:t>
      </w:r>
      <w:r>
        <w:rPr>
          <w:rFonts w:ascii="Arial" w:hAnsi="Arial" w:eastAsia="等线" w:cs="Arial"/>
          <w:sz w:val="22"/>
        </w:rPr>
        <w:t>：本项目使用</w:t>
      </w:r>
      <w:r>
        <w:rPr>
          <w:rFonts w:hint="eastAsia" w:eastAsia="等线" w:cs="Arial"/>
          <w:sz w:val="22"/>
          <w:lang w:val="en-US" w:eastAsia="zh-CN"/>
        </w:rPr>
        <w:t>公共</w:t>
      </w:r>
      <w:r>
        <w:rPr>
          <w:rFonts w:ascii="Arial" w:hAnsi="Arial" w:eastAsia="等线" w:cs="Arial"/>
          <w:sz w:val="22"/>
        </w:rPr>
        <w:t>云平台提供的云存储、云网络、云安全等基础设施服务，保障平台高峰期数据处理及存储需求</w:t>
      </w:r>
      <w:r>
        <w:rPr>
          <w:rFonts w:hint="eastAsia" w:eastAsia="等线" w:cs="Arial"/>
          <w:sz w:val="22"/>
          <w:lang w:eastAsia="zh-CN"/>
        </w:rPr>
        <w:t>。</w:t>
      </w:r>
      <w:r>
        <w:rPr>
          <w:rFonts w:ascii="Arial" w:hAnsi="Arial" w:eastAsia="等线" w:cs="Arial"/>
          <w:sz w:val="22"/>
        </w:rPr>
        <w:t>申请外网专用接入通道，提升各医疗机构平台访问的网络稳定性，资源数量测算依据为平台高峰期用户访问量及数据存储增长量。无其他基础设施需求。</w:t>
      </w:r>
    </w:p>
    <w:p w14:paraId="0DCC4AAF">
      <w:pPr>
        <w:numPr>
          <w:ilvl w:val="0"/>
          <w:numId w:val="3"/>
        </w:numPr>
        <w:spacing w:before="120" w:after="120" w:line="288" w:lineRule="auto"/>
        <w:ind w:left="0"/>
        <w:jc w:val="left"/>
      </w:pPr>
      <w:r>
        <w:rPr>
          <w:rFonts w:ascii="Arial" w:hAnsi="Arial" w:eastAsia="等线" w:cs="Arial"/>
          <w:b/>
          <w:sz w:val="22"/>
        </w:rPr>
        <w:t>功能性需求</w:t>
      </w:r>
      <w:r>
        <w:rPr>
          <w:rFonts w:ascii="Arial" w:hAnsi="Arial" w:eastAsia="等线" w:cs="Arial"/>
          <w:sz w:val="22"/>
        </w:rPr>
        <w:t>：本项目核心功能为质控云平台运行维护及功能优化，功能边界为消化疾病质控管理云平台的基础设施、软件功能、数据安全、技术支持等方面；需实现平台数据汇总、指标计算、模板管理、数据对比分析、现场督查填报等功能的故障处理及性能调优。</w:t>
      </w:r>
    </w:p>
    <w:p w14:paraId="2D5AF5A7">
      <w:pPr>
        <w:spacing w:before="120" w:after="120" w:line="288" w:lineRule="auto"/>
        <w:ind w:left="0" w:firstLine="420" w:firstLineChars="0"/>
        <w:jc w:val="left"/>
      </w:pPr>
      <w:r>
        <w:rPr>
          <w:rFonts w:ascii="Arial" w:hAnsi="Arial" w:eastAsia="等线" w:cs="Arial"/>
          <w:sz w:val="22"/>
        </w:rPr>
        <w:t>与外部系统的交互接口：平台</w:t>
      </w:r>
      <w:r>
        <w:rPr>
          <w:rFonts w:hint="eastAsia" w:eastAsia="等线" w:cs="Arial"/>
          <w:sz w:val="22"/>
          <w:lang w:eastAsia="zh-CN"/>
        </w:rPr>
        <w:t>主要</w:t>
      </w:r>
      <w:r>
        <w:rPr>
          <w:rFonts w:hint="eastAsia" w:eastAsia="等线" w:cs="Arial"/>
          <w:sz w:val="22"/>
          <w:lang w:val="en-US" w:eastAsia="zh-CN"/>
        </w:rPr>
        <w:t>采集内镜系统和用户填写的</w:t>
      </w:r>
      <w:r>
        <w:rPr>
          <w:rFonts w:ascii="Arial" w:hAnsi="Arial" w:eastAsia="等线" w:cs="Arial"/>
          <w:sz w:val="22"/>
        </w:rPr>
        <w:t>院内诊疗数据</w:t>
      </w:r>
      <w:r>
        <w:rPr>
          <w:rFonts w:hint="eastAsia" w:eastAsia="等线" w:cs="Arial"/>
          <w:sz w:val="22"/>
          <w:lang w:eastAsia="zh-CN"/>
        </w:rPr>
        <w:t>，</w:t>
      </w:r>
      <w:r>
        <w:rPr>
          <w:rFonts w:ascii="Arial" w:hAnsi="Arial" w:eastAsia="等线" w:cs="Arial"/>
          <w:sz w:val="22"/>
        </w:rPr>
        <w:t>实现质控数据</w:t>
      </w:r>
      <w:r>
        <w:rPr>
          <w:rFonts w:hint="eastAsia" w:eastAsia="等线" w:cs="Arial"/>
          <w:sz w:val="22"/>
          <w:lang w:val="en-US" w:eastAsia="zh-CN"/>
        </w:rPr>
        <w:t>汇总</w:t>
      </w:r>
      <w:r>
        <w:rPr>
          <w:rFonts w:ascii="Arial" w:hAnsi="Arial" w:eastAsia="等线" w:cs="Arial"/>
          <w:sz w:val="22"/>
        </w:rPr>
        <w:t>与共享</w:t>
      </w:r>
      <w:r>
        <w:rPr>
          <w:rFonts w:hint="eastAsia" w:eastAsia="等线" w:cs="Arial"/>
          <w:sz w:val="22"/>
          <w:lang w:val="en-US" w:eastAsia="zh-CN"/>
        </w:rPr>
        <w:t>，系统内部自动进行统计、分析。交互流程为院内内镜业务系统质控相关数据实时推送至云平台，技术实现机制采用API接口对接。</w:t>
      </w:r>
    </w:p>
    <w:p w14:paraId="48632F11">
      <w:pPr>
        <w:numPr>
          <w:ilvl w:val="0"/>
          <w:numId w:val="4"/>
        </w:numPr>
        <w:spacing w:before="120" w:after="120" w:line="288" w:lineRule="auto"/>
        <w:ind w:left="0"/>
        <w:jc w:val="left"/>
      </w:pPr>
      <w:r>
        <w:rPr>
          <w:rFonts w:ascii="Arial" w:hAnsi="Arial" w:eastAsia="等线" w:cs="Arial"/>
          <w:b/>
          <w:sz w:val="22"/>
        </w:rPr>
        <w:t>非功能性需求</w:t>
      </w:r>
      <w:r>
        <w:rPr>
          <w:rFonts w:ascii="Arial" w:hAnsi="Arial" w:eastAsia="等线" w:cs="Arial"/>
          <w:sz w:val="22"/>
        </w:rPr>
        <w:t>：性能指标方面，业务并发至少同时支持峰值300笔/分钟批量数据交换和峰值100笔/秒的实时查询或处理业务；批量数据交换单记录交换/入库的平均响应时间≤20毫秒，非并发大批量数据交换≤2000秒/百万条；查询方面，千万级数据量下记录本地查询的响应时间≤2秒，分布式查询的响应时间≤5秒/次，简单统计报表查询的响应时间≤10秒；统计方面，千万级数据量下单项统计的响应时间≤5秒，复合汇总统计响应时间≤120秒，生成复杂统计报表的响应时间≤180秒。</w:t>
      </w:r>
    </w:p>
    <w:p w14:paraId="7C67D562">
      <w:pPr>
        <w:spacing w:before="120" w:after="120" w:line="288" w:lineRule="auto"/>
        <w:ind w:left="0" w:firstLine="420" w:firstLineChars="0"/>
        <w:jc w:val="left"/>
      </w:pPr>
      <w:r>
        <w:rPr>
          <w:rFonts w:ascii="Arial" w:hAnsi="Arial" w:eastAsia="等线" w:cs="Arial"/>
          <w:sz w:val="22"/>
        </w:rPr>
        <w:t>可维护性方面，平台支持日常例行检查、状态监控、功能配置完善与性能调优；可靠性方面，平台需7×24小时稳定运行，数据采用全量备份与增量备份相结合的方式，制定数据灾备与故障应急预案，出现数据丢失、系统宕机等突发情况时第一时间启动恢复方案，最大限度降低业务中断影响；易用性方面，平台支持电脑端、手机/平板移动端操作，各端功能同步、操作便捷。安全软硬件产品需求：平台安全等级定为二级，依托防火墙、入侵检测等基础安全设备，划分平台管理区、数据存储区、用户访问区等安全域，制定严格的安全策略；开展网络安全等级保护测评、风险评估、日志审计等安全服务，实现平台日志7×24小时监测，及时发现并处理安全事件。</w:t>
      </w:r>
    </w:p>
    <w:p w14:paraId="526FFDCF">
      <w:pPr>
        <w:spacing w:before="300" w:after="120" w:line="288" w:lineRule="auto"/>
        <w:ind w:left="0"/>
        <w:jc w:val="left"/>
        <w:outlineLvl w:val="2"/>
      </w:pPr>
      <w:bookmarkStart w:id="1" w:name="heading_2"/>
      <w:r>
        <w:rPr>
          <w:rFonts w:ascii="Arial" w:hAnsi="Arial" w:eastAsia="等线" w:cs="Arial"/>
          <w:b/>
          <w:sz w:val="30"/>
        </w:rPr>
        <w:t>（二）总体设计方案（核心重点）</w:t>
      </w:r>
      <w:bookmarkEnd w:id="1"/>
    </w:p>
    <w:p w14:paraId="286A2AE3">
      <w:pPr>
        <w:numPr>
          <w:ilvl w:val="0"/>
          <w:numId w:val="5"/>
        </w:numPr>
        <w:spacing w:before="120" w:after="120" w:line="288" w:lineRule="auto"/>
        <w:ind w:left="0"/>
        <w:jc w:val="left"/>
      </w:pPr>
      <w:r>
        <w:rPr>
          <w:rFonts w:ascii="Arial" w:hAnsi="Arial" w:eastAsia="等线" w:cs="Arial"/>
          <w:b/>
          <w:sz w:val="22"/>
        </w:rPr>
        <w:t>系统架构设计</w:t>
      </w:r>
      <w:r>
        <w:rPr>
          <w:rFonts w:ascii="Arial" w:hAnsi="Arial" w:eastAsia="等线" w:cs="Arial"/>
          <w:sz w:val="22"/>
        </w:rPr>
        <w:t>：本项目遵循省数字政府及政务信息化规划，以保障平台稳定运行、提升质控工作效率为核心，遵循安全可靠、易扩展、易维护的原则进行架构设计。总体架构依托省级质控云平台，分为基础设施层、软件服务层、业务应用层、安全保障层</w:t>
      </w:r>
      <w:r>
        <w:rPr>
          <w:rFonts w:hint="eastAsia" w:eastAsia="等线" w:cs="Arial"/>
          <w:sz w:val="22"/>
          <w:lang w:eastAsia="zh-CN"/>
        </w:rPr>
        <w:t>。</w:t>
      </w:r>
      <w:r>
        <w:rPr>
          <w:rFonts w:ascii="Arial" w:hAnsi="Arial" w:eastAsia="等线" w:cs="Arial"/>
          <w:sz w:val="22"/>
        </w:rPr>
        <w:t>基础设施层为云平台的计算、存储、网络资源；软件服务层为平台数据处理、指标计算、模板管理等核心软件功能；业务应用层为日常数据填报、指标分析、现场督查填报等业务场景；安全保障层为网络安全、数据安全、权限管理等防护措施。业务架构围绕消化疾病质控工作展开，核心业务流程为“数据采集</w:t>
      </w:r>
      <w:r>
        <w:rPr>
          <w:rFonts w:hint="eastAsia" w:eastAsia="等线" w:cs="Arial"/>
          <w:sz w:val="22"/>
          <w:lang w:eastAsia="zh-CN"/>
        </w:rPr>
        <w:t>－</w:t>
      </w:r>
      <w:r>
        <w:rPr>
          <w:rFonts w:ascii="Arial" w:hAnsi="Arial" w:eastAsia="等线" w:cs="Arial"/>
          <w:sz w:val="22"/>
        </w:rPr>
        <w:t>数据核验</w:t>
      </w:r>
      <w:r>
        <w:rPr>
          <w:rFonts w:hint="eastAsia" w:eastAsia="等线" w:cs="Arial"/>
          <w:sz w:val="22"/>
          <w:lang w:eastAsia="zh-CN"/>
        </w:rPr>
        <w:t>－</w:t>
      </w:r>
      <w:r>
        <w:rPr>
          <w:rFonts w:ascii="Arial" w:hAnsi="Arial" w:eastAsia="等线" w:cs="Arial"/>
          <w:sz w:val="22"/>
        </w:rPr>
        <w:t>指标计算</w:t>
      </w:r>
      <w:r>
        <w:rPr>
          <w:rFonts w:hint="eastAsia" w:eastAsia="等线" w:cs="Arial"/>
          <w:sz w:val="22"/>
          <w:lang w:eastAsia="zh-CN"/>
        </w:rPr>
        <w:t>－</w:t>
      </w:r>
      <w:r>
        <w:rPr>
          <w:rFonts w:ascii="Arial" w:hAnsi="Arial" w:eastAsia="等线" w:cs="Arial"/>
          <w:sz w:val="22"/>
        </w:rPr>
        <w:t>数据上报</w:t>
      </w:r>
      <w:r>
        <w:rPr>
          <w:rFonts w:hint="eastAsia" w:eastAsia="等线" w:cs="Arial"/>
          <w:sz w:val="22"/>
          <w:lang w:eastAsia="zh-CN"/>
        </w:rPr>
        <w:t>－</w:t>
      </w:r>
      <w:r>
        <w:rPr>
          <w:rFonts w:ascii="Arial" w:hAnsi="Arial" w:eastAsia="等线" w:cs="Arial"/>
          <w:sz w:val="22"/>
        </w:rPr>
        <w:t>现场督查</w:t>
      </w:r>
      <w:r>
        <w:rPr>
          <w:rFonts w:hint="eastAsia" w:eastAsia="等线" w:cs="Arial"/>
          <w:sz w:val="22"/>
          <w:lang w:eastAsia="zh-CN"/>
        </w:rPr>
        <w:t>－</w:t>
      </w:r>
      <w:r>
        <w:rPr>
          <w:rFonts w:ascii="Arial" w:hAnsi="Arial" w:eastAsia="等线" w:cs="Arial"/>
          <w:sz w:val="22"/>
        </w:rPr>
        <w:t>结果反馈</w:t>
      </w:r>
      <w:r>
        <w:rPr>
          <w:rFonts w:hint="eastAsia" w:eastAsia="等线" w:cs="Arial"/>
          <w:sz w:val="22"/>
          <w:lang w:eastAsia="zh-CN"/>
        </w:rPr>
        <w:t>－</w:t>
      </w:r>
      <w:r>
        <w:rPr>
          <w:rFonts w:ascii="Arial" w:hAnsi="Arial" w:eastAsia="等线" w:cs="Arial"/>
          <w:sz w:val="22"/>
        </w:rPr>
        <w:t>整改跟踪”，各业务环节逻辑关联，实现业务流程的线上化、标准化。</w:t>
      </w:r>
    </w:p>
    <w:p w14:paraId="7BE31D35">
      <w:pPr>
        <w:numPr>
          <w:ilvl w:val="0"/>
          <w:numId w:val="0"/>
        </w:numPr>
        <w:spacing w:before="120" w:after="120" w:line="288" w:lineRule="auto"/>
        <w:jc w:val="center"/>
      </w:pPr>
      <w:r>
        <w:rPr>
          <w:rFonts w:hint="eastAsia" w:ascii="宋体" w:hAnsi="宋体" w:cs="宋体"/>
        </w:rPr>
        <w:drawing>
          <wp:inline distT="0" distB="0" distL="114300" distR="114300">
            <wp:extent cx="5172075" cy="3232785"/>
            <wp:effectExtent l="0" t="0" r="9525" b="571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6"/>
                    <a:stretch>
                      <a:fillRect/>
                    </a:stretch>
                  </pic:blipFill>
                  <pic:spPr>
                    <a:xfrm>
                      <a:off x="0" y="0"/>
                      <a:ext cx="5172075" cy="3232785"/>
                    </a:xfrm>
                    <a:prstGeom prst="rect">
                      <a:avLst/>
                    </a:prstGeom>
                    <a:noFill/>
                    <a:ln>
                      <a:noFill/>
                    </a:ln>
                  </pic:spPr>
                </pic:pic>
              </a:graphicData>
            </a:graphic>
          </wp:inline>
        </w:drawing>
      </w:r>
    </w:p>
    <w:p w14:paraId="03208D63">
      <w:pPr>
        <w:spacing w:before="120" w:after="120" w:line="288" w:lineRule="auto"/>
        <w:ind w:left="0" w:firstLine="420" w:firstLineChars="0"/>
        <w:jc w:val="left"/>
      </w:pPr>
      <w:r>
        <w:rPr>
          <w:rFonts w:ascii="Arial" w:hAnsi="Arial" w:eastAsia="等线" w:cs="Arial"/>
          <w:sz w:val="22"/>
        </w:rPr>
        <w:t>应用架构包含现有功能模块及运维优化功能模块，现有内容为平台基础的数据采集、指标分析、模板管理等功能，运维服务内容为平台功能优化、数据接口开发、安全运维、技术支持等，应用架构支持电脑端、手机/平板</w:t>
      </w:r>
      <w:r>
        <w:rPr>
          <w:rFonts w:hint="eastAsia" w:eastAsia="等线" w:cs="Arial"/>
          <w:sz w:val="22"/>
          <w:lang w:eastAsia="zh-CN"/>
        </w:rPr>
        <w:t>等移动</w:t>
      </w:r>
      <w:r>
        <w:rPr>
          <w:rFonts w:ascii="Arial" w:hAnsi="Arial" w:eastAsia="等线" w:cs="Arial"/>
          <w:sz w:val="22"/>
        </w:rPr>
        <w:t>端，各端功能同步。数据架构的数据源包括院内业务系统数据、各医疗机构线上填报数据、Excel导入数据；数据存储于云数据库及本地服务器，按数据类型分为基础信息库、质控指标库、督查结果库；数据加工处理包括数据清洗、核验、指标计算、对比分析；数据业务应用于日常上报、现场督查、质量分析等场景。网络架构使用云空间服务，依托政务外网实现院内及各州市医疗机构的网络接入。安全架构分为网络安全、数据安全、应用安全、权限安全</w:t>
      </w:r>
      <w:r>
        <w:rPr>
          <w:rFonts w:hint="eastAsia" w:eastAsia="等线" w:cs="Arial"/>
          <w:sz w:val="22"/>
          <w:lang w:eastAsia="zh-CN"/>
        </w:rPr>
        <w:t>。</w:t>
      </w:r>
      <w:r>
        <w:rPr>
          <w:rFonts w:ascii="Arial" w:hAnsi="Arial" w:eastAsia="等线" w:cs="Arial"/>
          <w:sz w:val="22"/>
        </w:rPr>
        <w:t>网络安全通过云防火墙、入侵检测、网络隔离等措施实现；数据安全通过数据加密、备份、日志审计等措施实现；应用安全通过功能测试、漏洞修复等措施实现；权限安全通过统一身份认证、角色权限划分、操作日志记录等措施实现。</w:t>
      </w:r>
    </w:p>
    <w:p w14:paraId="27F4A51B">
      <w:pPr>
        <w:numPr>
          <w:ilvl w:val="0"/>
          <w:numId w:val="6"/>
        </w:numPr>
        <w:spacing w:before="120" w:after="120" w:line="288" w:lineRule="auto"/>
        <w:ind w:left="0"/>
        <w:jc w:val="left"/>
      </w:pPr>
      <w:r>
        <w:rPr>
          <w:rFonts w:ascii="Arial" w:hAnsi="Arial" w:eastAsia="等线" w:cs="Arial"/>
          <w:b/>
          <w:sz w:val="22"/>
        </w:rPr>
        <w:t>业务协同</w:t>
      </w:r>
      <w:r>
        <w:rPr>
          <w:rFonts w:ascii="Arial" w:hAnsi="Arial" w:eastAsia="等线" w:cs="Arial"/>
          <w:sz w:val="22"/>
        </w:rPr>
        <w:t>：本项目关联的已建、在建信息系统包括院内HIS、内镜系统、集成平台、微信公众号及省级消化疾病质控上报平台等。与本单位系统的协同：将院内诊疗数据填报至质控云平台，实现质控数据的采集与汇聚；与省级消化疾病质控上报平台的协同内容为质控数据上报，实现方式为平台数据一键导出并对接省级平台上报接口，完成数据上报</w:t>
      </w:r>
      <w:r>
        <w:rPr>
          <w:rFonts w:hint="eastAsia" w:eastAsia="等线" w:cs="Arial"/>
          <w:sz w:val="22"/>
          <w:lang w:eastAsia="zh-CN"/>
        </w:rPr>
        <w:t>。</w:t>
      </w:r>
    </w:p>
    <w:p w14:paraId="1DCDCBDD">
      <w:pPr>
        <w:spacing w:before="300" w:after="120" w:line="288" w:lineRule="auto"/>
        <w:ind w:left="0"/>
        <w:jc w:val="left"/>
        <w:outlineLvl w:val="2"/>
      </w:pPr>
      <w:bookmarkStart w:id="2" w:name="heading_3"/>
      <w:r>
        <w:rPr>
          <w:rFonts w:ascii="Arial" w:hAnsi="Arial" w:eastAsia="等线" w:cs="Arial"/>
          <w:b/>
          <w:sz w:val="30"/>
        </w:rPr>
        <w:t>（三）服务内容（核心重点）</w:t>
      </w:r>
      <w:bookmarkEnd w:id="2"/>
    </w:p>
    <w:p w14:paraId="01C6C790">
      <w:pPr>
        <w:numPr>
          <w:ilvl w:val="0"/>
          <w:numId w:val="7"/>
        </w:numPr>
        <w:spacing w:before="120" w:after="120" w:line="288" w:lineRule="auto"/>
        <w:ind w:left="0"/>
        <w:jc w:val="left"/>
      </w:pPr>
      <w:r>
        <w:rPr>
          <w:rFonts w:ascii="Arial" w:hAnsi="Arial" w:eastAsia="等线" w:cs="Arial"/>
          <w:b/>
          <w:sz w:val="22"/>
        </w:rPr>
        <w:t>基础设施服务</w:t>
      </w:r>
      <w:r>
        <w:rPr>
          <w:rFonts w:ascii="Arial" w:hAnsi="Arial" w:eastAsia="等线" w:cs="Arial"/>
          <w:sz w:val="22"/>
        </w:rPr>
        <w:t>：本项目使用公共基础设施服务，平台部署于云平台，租用云服务器、云存储、云网络、云安全服务，申请云空间使用，保障平台高峰期数据处理及存储需求；申请政务外网专用接入通道，实现院内及各州市医疗机构的网络接入。云资源明细包括计算资源（云服务器）、存储资源（云存储）、网络资源（云网络）及安全防护资源（云安全设备，提供防火墙、数据加密等基础防护功能）；服务期内云服务器、云存储租赁费用全部包含在运维服务范围内。无单位自建机房，无专业基础设施服务需求，使用公共基础设施服务。</w:t>
      </w:r>
    </w:p>
    <w:p w14:paraId="220FC2F2">
      <w:pPr>
        <w:numPr>
          <w:ilvl w:val="0"/>
          <w:numId w:val="8"/>
        </w:numPr>
        <w:spacing w:before="120" w:after="120" w:line="288" w:lineRule="auto"/>
        <w:ind w:left="0"/>
        <w:jc w:val="left"/>
      </w:pPr>
      <w:r>
        <w:rPr>
          <w:rFonts w:ascii="Arial" w:hAnsi="Arial" w:eastAsia="等线" w:cs="Arial"/>
          <w:b/>
          <w:sz w:val="22"/>
        </w:rPr>
        <w:t>软件服务</w:t>
      </w:r>
      <w:r>
        <w:rPr>
          <w:rFonts w:ascii="Arial" w:hAnsi="Arial" w:eastAsia="等线" w:cs="Arial"/>
          <w:sz w:val="22"/>
        </w:rPr>
        <w:t>：本项目软件服务为消化疾病质控管理云平台的软件功能维护及优化，属于成品软件的运维服务。核心功能维护包括数据汇总、指标计算、模板管理、数据对比分析、现场督查填报等，保障各功能正常运行；功能优化包括简化数据填报流程、提升指标计算速度、优化数据对比分析的展示效果；根据国家、省级质控政策更新及医院业务新增需求，免费优化平台指标计算逻辑、填报模板、督查系统、报表功能，按需调整数据汇总、分析规则。服务目标为实现平台软件功能流畅、操作便捷，满足质控数据上报及现场督查需求。</w:t>
      </w:r>
    </w:p>
    <w:p w14:paraId="6A6346E6">
      <w:pPr>
        <w:numPr>
          <w:ilvl w:val="0"/>
          <w:numId w:val="9"/>
        </w:numPr>
        <w:spacing w:before="120" w:after="120" w:line="288" w:lineRule="auto"/>
        <w:ind w:left="0"/>
        <w:jc w:val="left"/>
      </w:pPr>
      <w:r>
        <w:rPr>
          <w:rFonts w:ascii="Arial" w:hAnsi="Arial" w:eastAsia="等线" w:cs="Arial"/>
          <w:b/>
          <w:sz w:val="22"/>
        </w:rPr>
        <w:t>运行维护服务</w:t>
      </w:r>
      <w:r>
        <w:rPr>
          <w:rFonts w:ascii="Arial" w:hAnsi="Arial" w:eastAsia="等线" w:cs="Arial"/>
          <w:sz w:val="22"/>
        </w:rPr>
        <w:t>：</w:t>
      </w:r>
      <w:r>
        <w:rPr>
          <w:rFonts w:hint="eastAsia" w:eastAsia="等线" w:cs="Arial"/>
          <w:sz w:val="22"/>
          <w:lang w:val="en-US" w:eastAsia="zh-CN"/>
        </w:rPr>
        <w:t>本平台运行维护服务包含一名驻场维护工程师，</w:t>
      </w:r>
      <w:r>
        <w:rPr>
          <w:rFonts w:ascii="Arial" w:hAnsi="Arial" w:eastAsia="等线" w:cs="Arial"/>
          <w:sz w:val="22"/>
        </w:rPr>
        <w:t>提供7×24小时技术值守，运维人员具备质控云平台系统运维经验及相应专业技术能力</w:t>
      </w:r>
      <w:r>
        <w:rPr>
          <w:rFonts w:hint="eastAsia" w:eastAsia="等线" w:cs="Arial"/>
          <w:sz w:val="22"/>
          <w:lang w:val="en-US" w:eastAsia="zh-CN"/>
        </w:rPr>
        <w:t>，维护内容</w:t>
      </w:r>
      <w:r>
        <w:rPr>
          <w:rFonts w:ascii="Arial" w:hAnsi="Arial" w:eastAsia="等线" w:cs="Arial"/>
          <w:sz w:val="22"/>
        </w:rPr>
        <w:t>包括平台应用系统软件的功能配置完善、性能调优、安全保障，以及日常例行检查、状态监控和响应支持等</w:t>
      </w:r>
      <w:r>
        <w:rPr>
          <w:rFonts w:hint="eastAsia" w:eastAsia="等线" w:cs="Arial"/>
          <w:sz w:val="22"/>
          <w:lang w:eastAsia="zh-CN"/>
        </w:rPr>
        <w:t>。</w:t>
      </w:r>
    </w:p>
    <w:p w14:paraId="1A31D4ED">
      <w:pPr>
        <w:spacing w:before="120" w:after="120" w:line="288" w:lineRule="auto"/>
        <w:ind w:left="0" w:firstLine="420" w:firstLineChars="0"/>
        <w:jc w:val="left"/>
      </w:pPr>
      <w:r>
        <w:rPr>
          <w:rFonts w:ascii="Arial" w:hAnsi="Arial" w:eastAsia="等线" w:cs="Arial"/>
          <w:sz w:val="22"/>
        </w:rPr>
        <w:t>量化服务指标及考核标准：提供7×24小时技术支持，建立三级故障响应机制，30分钟内完成故障响应对接，1小时内远程介入排查，远程无法解决的院内故障，工程师抵达现场处置，一般故障4小时内闭环解决，重大故障出具专项应急处置方案，保障平台核心功能不中断；一般故障响应时限≤30分钟，重大故障响应时限≤10分钟。常态化平台运维巡检：每日自动化云端运行状态巡检，每周出具系统健康巡检报告，每月开展深度性能、安全专项优化，每季度提供完整运维服务总结。系统升级提前7个工作日通知用户，升级完成后进行全功能测试，预期考核指标纳入服务级别协议。</w:t>
      </w:r>
    </w:p>
    <w:p w14:paraId="5E081B4F">
      <w:pPr>
        <w:numPr>
          <w:ilvl w:val="0"/>
          <w:numId w:val="10"/>
        </w:numPr>
        <w:spacing w:before="120" w:after="120" w:line="288" w:lineRule="auto"/>
        <w:ind w:left="0"/>
        <w:jc w:val="left"/>
      </w:pPr>
      <w:r>
        <w:rPr>
          <w:rFonts w:ascii="Arial" w:hAnsi="Arial" w:eastAsia="等线" w:cs="Arial"/>
          <w:b/>
          <w:sz w:val="22"/>
        </w:rPr>
        <w:t>其他服务</w:t>
      </w:r>
      <w:r>
        <w:rPr>
          <w:rFonts w:ascii="Arial" w:hAnsi="Arial" w:eastAsia="等线" w:cs="Arial"/>
          <w:sz w:val="22"/>
        </w:rPr>
        <w:t>：（1）业务管理服务：①业务处理服务：为平台用户提供用户管理、业务变更配置与知识库维护，为平台提供业务流程优化、业务场景分析等技术支持服务，服务对象为医院质控管理人员、各医疗机构填报人员、质控专家</w:t>
      </w:r>
      <w:r>
        <w:rPr>
          <w:rFonts w:hint="eastAsia" w:eastAsia="等线" w:cs="Arial"/>
          <w:sz w:val="22"/>
          <w:lang w:eastAsia="zh-CN"/>
        </w:rPr>
        <w:t>。</w:t>
      </w:r>
    </w:p>
    <w:p w14:paraId="3C1E3C70">
      <w:pPr>
        <w:numPr>
          <w:ilvl w:val="0"/>
          <w:numId w:val="0"/>
        </w:numPr>
        <w:spacing w:before="120" w:after="120" w:line="288" w:lineRule="auto"/>
        <w:ind w:firstLine="420" w:firstLineChars="0"/>
        <w:jc w:val="left"/>
      </w:pPr>
      <w:r>
        <w:rPr>
          <w:rFonts w:ascii="Arial" w:hAnsi="Arial" w:eastAsia="等线" w:cs="Arial"/>
          <w:sz w:val="22"/>
        </w:rPr>
        <w:t>（2）数据处理服务：包括数据采集、数据更新、数据统计分析、数据迁移；数据处理依据省级消化疾病质控数据标准，对象范围为平台所有质控数据，涉及系统范围为消化疾病质控管理云平台，建库范围为基础信息库、质控指标库、督查结果库，数据资源类型为结构化数据；数据来源为院内业务系统、各医疗机构填报数据，处理流程为数据采集</w:t>
      </w:r>
      <w:r>
        <w:rPr>
          <w:rFonts w:hint="eastAsia" w:eastAsia="等线" w:cs="Arial"/>
          <w:sz w:val="22"/>
          <w:lang w:eastAsia="zh-CN"/>
        </w:rPr>
        <w:t>－</w:t>
      </w:r>
      <w:r>
        <w:rPr>
          <w:rFonts w:ascii="Arial" w:hAnsi="Arial" w:eastAsia="等线" w:cs="Arial"/>
          <w:sz w:val="22"/>
        </w:rPr>
        <w:t>数据清洗</w:t>
      </w:r>
      <w:r>
        <w:rPr>
          <w:rFonts w:hint="eastAsia" w:eastAsia="等线" w:cs="Arial"/>
          <w:sz w:val="22"/>
          <w:lang w:eastAsia="zh-CN"/>
        </w:rPr>
        <w:t>－</w:t>
      </w:r>
      <w:r>
        <w:rPr>
          <w:rFonts w:ascii="Arial" w:hAnsi="Arial" w:eastAsia="等线" w:cs="Arial"/>
          <w:sz w:val="22"/>
        </w:rPr>
        <w:t>数据核验</w:t>
      </w:r>
      <w:r>
        <w:rPr>
          <w:rFonts w:hint="eastAsia" w:eastAsia="等线" w:cs="Arial"/>
          <w:sz w:val="22"/>
          <w:lang w:eastAsia="zh-CN"/>
        </w:rPr>
        <w:t>－</w:t>
      </w:r>
      <w:r>
        <w:rPr>
          <w:rFonts w:ascii="Arial" w:hAnsi="Arial" w:eastAsia="等线" w:cs="Arial"/>
          <w:sz w:val="22"/>
        </w:rPr>
        <w:t>数据存储</w:t>
      </w:r>
      <w:r>
        <w:rPr>
          <w:rFonts w:hint="eastAsia" w:eastAsia="等线" w:cs="Arial"/>
          <w:sz w:val="22"/>
          <w:lang w:eastAsia="zh-CN"/>
        </w:rPr>
        <w:t>－</w:t>
      </w:r>
      <w:r>
        <w:rPr>
          <w:rFonts w:ascii="Arial" w:hAnsi="Arial" w:eastAsia="等线" w:cs="Arial"/>
          <w:sz w:val="22"/>
        </w:rPr>
        <w:t>指标计算</w:t>
      </w:r>
      <w:r>
        <w:rPr>
          <w:rFonts w:hint="eastAsia" w:eastAsia="等线" w:cs="Arial"/>
          <w:sz w:val="22"/>
          <w:lang w:eastAsia="zh-CN"/>
        </w:rPr>
        <w:t>－</w:t>
      </w:r>
      <w:r>
        <w:rPr>
          <w:rFonts w:ascii="Arial" w:hAnsi="Arial" w:eastAsia="等线" w:cs="Arial"/>
          <w:sz w:val="22"/>
        </w:rPr>
        <w:t>分析应用，处理方式为自动化处理+人工核验；业务应用于日常数据上报、现场督查、质量分析，交付成果为月度/季度/年度质控数据分析报告。</w:t>
      </w:r>
    </w:p>
    <w:p w14:paraId="23ED0395">
      <w:pPr>
        <w:spacing w:before="120" w:after="120" w:line="288" w:lineRule="auto"/>
        <w:ind w:left="0" w:firstLine="420" w:firstLineChars="0"/>
        <w:jc w:val="left"/>
        <w:rPr>
          <w:rFonts w:ascii="Arial" w:hAnsi="Arial" w:eastAsia="等线" w:cs="Arial"/>
          <w:sz w:val="22"/>
        </w:rPr>
      </w:pPr>
      <w:r>
        <w:rPr>
          <w:rFonts w:ascii="Arial" w:hAnsi="Arial" w:eastAsia="等线" w:cs="Arial"/>
          <w:sz w:val="22"/>
        </w:rPr>
        <w:t>（3）网络安全服务：对平台网络和主机活动进行7×24小时实时监控，开展每日巡查监测、每月策略配置、每季度风险评估，在重要</w:t>
      </w:r>
      <w:r>
        <w:rPr>
          <w:rFonts w:hint="eastAsia" w:eastAsia="等线" w:cs="Arial"/>
          <w:sz w:val="22"/>
          <w:lang w:val="en-US" w:eastAsia="zh-CN"/>
        </w:rPr>
        <w:t>督查活动</w:t>
      </w:r>
      <w:r>
        <w:rPr>
          <w:rFonts w:ascii="Arial" w:hAnsi="Arial" w:eastAsia="等线" w:cs="Arial"/>
          <w:sz w:val="22"/>
        </w:rPr>
        <w:t>期间开展安全重保工作，发现问题后及时进行整改加固。</w:t>
      </w:r>
    </w:p>
    <w:p w14:paraId="772A8015">
      <w:pPr>
        <w:spacing w:before="120" w:after="120" w:line="288" w:lineRule="auto"/>
        <w:ind w:left="0" w:firstLine="420" w:firstLineChars="0"/>
        <w:jc w:val="left"/>
        <w:rPr>
          <w:rFonts w:ascii="Arial" w:hAnsi="Arial" w:eastAsia="等线" w:cs="Arial"/>
          <w:sz w:val="22"/>
        </w:rPr>
      </w:pPr>
      <w:r>
        <w:rPr>
          <w:rFonts w:ascii="Arial" w:hAnsi="Arial" w:eastAsia="等线" w:cs="Arial"/>
          <w:sz w:val="22"/>
        </w:rPr>
        <w:t>（4）设计咨询服务：无设计咨询服务需求。</w:t>
      </w:r>
    </w:p>
    <w:p w14:paraId="5A00D39B">
      <w:pPr>
        <w:spacing w:before="120" w:after="120" w:line="288" w:lineRule="auto"/>
        <w:ind w:left="0" w:firstLine="420" w:firstLineChars="0"/>
        <w:jc w:val="left"/>
      </w:pPr>
      <w:r>
        <w:rPr>
          <w:rFonts w:ascii="Arial" w:hAnsi="Arial" w:eastAsia="等线" w:cs="Arial"/>
          <w:sz w:val="22"/>
        </w:rPr>
        <w:t>（5）监理服务：无监理服务需求。</w:t>
      </w:r>
    </w:p>
    <w:p w14:paraId="5831CD5E">
      <w:pPr>
        <w:spacing w:before="120" w:after="120" w:line="288" w:lineRule="auto"/>
        <w:ind w:left="0" w:firstLine="420" w:firstLineChars="0"/>
        <w:jc w:val="left"/>
        <w:rPr>
          <w:rFonts w:ascii="Arial" w:hAnsi="Arial" w:eastAsia="等线" w:cs="Arial"/>
          <w:sz w:val="22"/>
        </w:rPr>
      </w:pPr>
      <w:r>
        <w:rPr>
          <w:rFonts w:ascii="Arial" w:hAnsi="Arial" w:eastAsia="等线" w:cs="Arial"/>
          <w:sz w:val="22"/>
        </w:rPr>
        <w:t>（6）网络安全等级保护测评服务：根据GB/T 22239-2019《信息安全技术 网络安全等级保护基本要求》，完成平台网络安全的二级定级、备案、测评、整改与监督检查等工作，形成安全测评报告，保障平台符合网络安全等级保护要求。</w:t>
      </w:r>
    </w:p>
    <w:p w14:paraId="38EA93B1">
      <w:pPr>
        <w:spacing w:before="120" w:after="120" w:line="288" w:lineRule="auto"/>
        <w:ind w:left="0" w:firstLine="420" w:firstLineChars="0"/>
        <w:jc w:val="left"/>
        <w:rPr>
          <w:rFonts w:ascii="Arial" w:hAnsi="Arial" w:eastAsia="等线" w:cs="Arial"/>
          <w:sz w:val="22"/>
        </w:rPr>
      </w:pPr>
      <w:r>
        <w:rPr>
          <w:rFonts w:ascii="Arial" w:hAnsi="Arial" w:eastAsia="等线" w:cs="Arial"/>
          <w:sz w:val="22"/>
        </w:rPr>
        <w:t>（7）商用密码应用安全性评估服务：根据国家密码法律、行政法规和国家有关规定，开展平台商用密码应用建设方案编制及商用密码应用安全性评估服务，保障平台密码应用的合规性和安全性。</w:t>
      </w:r>
    </w:p>
    <w:p w14:paraId="5686F4B6">
      <w:pPr>
        <w:spacing w:before="120" w:after="120" w:line="288" w:lineRule="auto"/>
        <w:ind w:left="0" w:firstLine="420" w:firstLineChars="0"/>
        <w:jc w:val="left"/>
      </w:pPr>
      <w:r>
        <w:rPr>
          <w:rFonts w:ascii="Arial" w:hAnsi="Arial" w:eastAsia="等线" w:cs="Arial"/>
          <w:sz w:val="22"/>
        </w:rPr>
        <w:t>（8）验收测评服务：包括功能测评、性能测评</w:t>
      </w:r>
      <w:r>
        <w:rPr>
          <w:rFonts w:hint="eastAsia" w:eastAsia="等线" w:cs="Arial"/>
          <w:sz w:val="22"/>
          <w:lang w:eastAsia="zh-CN"/>
        </w:rPr>
        <w:t>。</w:t>
      </w:r>
      <w:r>
        <w:rPr>
          <w:rFonts w:ascii="Arial" w:hAnsi="Arial" w:eastAsia="等线" w:cs="Arial"/>
          <w:sz w:val="22"/>
        </w:rPr>
        <w:t>功能测评测试平台数据采集、指标计算等核心功能，验证业务逻辑和功能点的符合性；性能测评测试平台的响应时间、并发访问量等性能指标，验证是否符合非功能性需求，确保项目达到预期设计目标。</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4"/>
      <w:numFmt w:val="decimal"/>
      <w:lvlText w:val="%1."/>
      <w:lvlJc w:val="left"/>
      <w:rPr>
        <w:color w:val="3370FF"/>
      </w:rPr>
    </w:lvl>
  </w:abstractNum>
  <w:abstractNum w:abstractNumId="1">
    <w:nsid w:val="B5E306ED"/>
    <w:multiLevelType w:val="singleLevel"/>
    <w:tmpl w:val="B5E306ED"/>
    <w:lvl w:ilvl="0" w:tentative="0">
      <w:start w:val="1"/>
      <w:numFmt w:val="decimal"/>
      <w:lvlText w:val="%1."/>
      <w:lvlJc w:val="left"/>
      <w:rPr>
        <w:color w:val="3370FF"/>
      </w:rPr>
    </w:lvl>
  </w:abstractNum>
  <w:abstractNum w:abstractNumId="2">
    <w:nsid w:val="BF205925"/>
    <w:multiLevelType w:val="singleLevel"/>
    <w:tmpl w:val="BF205925"/>
    <w:lvl w:ilvl="0" w:tentative="0">
      <w:start w:val="4"/>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0053208E"/>
    <w:multiLevelType w:val="singleLevel"/>
    <w:tmpl w:val="0053208E"/>
    <w:lvl w:ilvl="0" w:tentative="0">
      <w:start w:val="1"/>
      <w:numFmt w:val="decimal"/>
      <w:lvlText w:val="%1."/>
      <w:lvlJc w:val="left"/>
      <w:rPr>
        <w:color w:val="3370FF"/>
      </w:rPr>
    </w:lvl>
  </w:abstractNum>
  <w:abstractNum w:abstractNumId="5">
    <w:nsid w:val="0248C179"/>
    <w:multiLevelType w:val="singleLevel"/>
    <w:tmpl w:val="0248C179"/>
    <w:lvl w:ilvl="0" w:tentative="0">
      <w:start w:val="3"/>
      <w:numFmt w:val="decimal"/>
      <w:lvlText w:val="%1."/>
      <w:lvlJc w:val="left"/>
      <w:rPr>
        <w:color w:val="3370FF"/>
      </w:rPr>
    </w:lvl>
  </w:abstractNum>
  <w:abstractNum w:abstractNumId="6">
    <w:nsid w:val="03D62ECE"/>
    <w:multiLevelType w:val="singleLevel"/>
    <w:tmpl w:val="03D62ECE"/>
    <w:lvl w:ilvl="0" w:tentative="0">
      <w:start w:val="2"/>
      <w:numFmt w:val="decimal"/>
      <w:lvlText w:val="%1."/>
      <w:lvlJc w:val="left"/>
      <w:rPr>
        <w:color w:val="3370FF"/>
      </w:rPr>
    </w:lvl>
  </w:abstractNum>
  <w:abstractNum w:abstractNumId="7">
    <w:nsid w:val="25B654F3"/>
    <w:multiLevelType w:val="singleLevel"/>
    <w:tmpl w:val="25B654F3"/>
    <w:lvl w:ilvl="0" w:tentative="0">
      <w:start w:val="1"/>
      <w:numFmt w:val="decimal"/>
      <w:lvlText w:val="%1."/>
      <w:lvlJc w:val="left"/>
      <w:rPr>
        <w:color w:val="3370FF"/>
      </w:rPr>
    </w:lvl>
  </w:abstractNum>
  <w:abstractNum w:abstractNumId="8">
    <w:nsid w:val="59ADCABA"/>
    <w:multiLevelType w:val="singleLevel"/>
    <w:tmpl w:val="59ADCABA"/>
    <w:lvl w:ilvl="0" w:tentative="0">
      <w:start w:val="3"/>
      <w:numFmt w:val="decimal"/>
      <w:lvlText w:val="%1."/>
      <w:lvlJc w:val="left"/>
      <w:rPr>
        <w:color w:val="3370FF"/>
      </w:rPr>
    </w:lvl>
  </w:abstractNum>
  <w:abstractNum w:abstractNumId="9">
    <w:nsid w:val="72183CF9"/>
    <w:multiLevelType w:val="singleLevel"/>
    <w:tmpl w:val="72183CF9"/>
    <w:lvl w:ilvl="0" w:tentative="0">
      <w:start w:val="2"/>
      <w:numFmt w:val="decimal"/>
      <w:lvlText w:val="%1."/>
      <w:lvlJc w:val="left"/>
      <w:rPr>
        <w:color w:val="3370FF"/>
      </w:rPr>
    </w:lvl>
  </w:abstractNum>
  <w:num w:numId="1">
    <w:abstractNumId w:val="4"/>
  </w:num>
  <w:num w:numId="2">
    <w:abstractNumId w:val="3"/>
  </w:num>
  <w:num w:numId="3">
    <w:abstractNumId w:val="8"/>
  </w:num>
  <w:num w:numId="4">
    <w:abstractNumId w:val="2"/>
  </w:num>
  <w:num w:numId="5">
    <w:abstractNumId w:val="1"/>
  </w:num>
  <w:num w:numId="6">
    <w:abstractNumId w:val="6"/>
  </w:num>
  <w:num w:numId="7">
    <w:abstractNumId w:val="7"/>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2F579E"/>
    <w:rsid w:val="577D17B2"/>
    <w:rsid w:val="5CC6179D"/>
    <w:rsid w:val="5EFD6250"/>
    <w:rsid w:val="6C385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8d9cd799-62ec-4760-8fdc-3e1b5f77dbce</errorID>
      <errorWord>：</errorWord>
      <group>L1_Punc</group>
      <groupName>标点问题</groupName>
      <ability>L2_Punc_CN</ability>
      <abilityName>标点符号问题</abilityName>
      <candidateList>
        <item>。</item>
      </candidateList>
      <explain/>
      <paraID>7C1B0011</paraID>
      <start>77</start>
      <end>78</end>
      <status>modified</status>
      <modifiedWord>。</modifiedWord>
      <trackRevisions>false</trackRevisions>
    </reviewItem>
    <reviewItem>
      <errorID>be5be4cb-b753-486b-9fb6-17a90e09915e</errorID>
      <errorWord>主要是</errorWord>
      <group>L1_Word</group>
      <groupName>字词问题</groupName>
      <ability>L2_Typo</ability>
      <abilityName>字词错误</abilityName>
      <candidateList>
        <item>主要</item>
      </candidateList>
      <explain/>
      <paraID>2D5AF5A7</paraID>
      <start>13</start>
      <end>15</end>
      <status>modified</status>
      <modifiedWord>主要</modifiedWord>
      <trackRevisions>false</trackRevisions>
    </reviewItem>
    <reviewItem>
      <errorID>efd9c0d1-d1f4-4c44-85a8-98f2804f684a</errorID>
      <errorWord>、</errorWord>
      <group>L1_Punc</group>
      <groupName>标点问题</groupName>
      <ability>L2_Punc_CN</ability>
      <abilityName>标点符号问题</abilityName>
      <candidateList>
        <item>，</item>
      </candidateList>
      <explain/>
      <paraID>2D5AF5A7</paraID>
      <start>33</start>
      <end>34</end>
      <status>modified</status>
      <modifiedWord>，</modifiedWord>
      <trackRevisions>false</trackRevisions>
    </reviewItem>
    <reviewItem>
      <errorID>7dcdf46b-c47a-484c-9fc6-e5ad330d9ba6</errorID>
      <errorWord>到</errorWord>
      <group>L1_Word</group>
      <groupName>字词问题</groupName>
      <ability>L2_Typo</ability>
      <abilityName>字词错误</abilityName>
      <candidateList>
        <item>至</item>
      </candidateList>
      <explain>存在字形相近字词的误用。</explain>
      <paraID>2D5AF5A7</paraID>
      <start>83</start>
      <end>84</end>
      <status>modified</status>
      <modifiedWord>至</modifiedWord>
      <trackRevisions>false</trackRevisions>
    </reviewItem>
    <reviewItem>
      <errorID>fb7a4fc6-2e7d-4aa4-aae6-db1e857d8ac2</errorID>
      <errorWord>：</errorWord>
      <group>L1_Punc</group>
      <groupName>标点问题</groupName>
      <ability>L2_Punc_CN</ability>
      <abilityName>标点符号问题</abilityName>
      <candidateList>
        <item>。</item>
      </candidateList>
      <explain/>
      <paraID>286A2AE3</paraID>
      <start>111</start>
      <end>112</end>
      <status>modified</status>
      <modifiedWord>。</modifiedWord>
      <trackRevisions>false</trackRevisions>
    </reviewItem>
    <reviewItem>
      <errorID>b158531b-b78b-46aa-8216-e9b0aa77a352</errorID>
      <errorWord>-</errorWord>
      <group>L1_Format</group>
      <groupName>格式问题</groupName>
      <ability>L2_HalfPunc_CN</ability>
      <abilityName>全半角问题</abilityName>
      <candidateList>
        <item>－</item>
      </candidateList>
      <explain>文本全半角错误。</explain>
      <paraID>286A2AE3</paraID>
      <start>248</start>
      <end>249</end>
      <status>modified</status>
      <modifiedWord>－</modifiedWord>
      <trackRevisions>false</trackRevisions>
    </reviewItem>
    <reviewItem>
      <errorID>1a240f26-c754-421d-a15d-d271777d63eb</errorID>
      <errorWord>-</errorWord>
      <group>L1_Format</group>
      <groupName>格式问题</groupName>
      <ability>L2_HalfPunc_CN</ability>
      <abilityName>全半角问题</abilityName>
      <candidateList>
        <item>－</item>
      </candidateList>
      <explain>文本全半角错误。</explain>
      <paraID>286A2AE3</paraID>
      <start>253</start>
      <end>254</end>
      <status>modified</status>
      <modifiedWord>－</modifiedWord>
      <trackRevisions>false</trackRevisions>
    </reviewItem>
    <reviewItem>
      <errorID>719d2895-09d6-4efb-a8df-94406674312f</errorID>
      <errorWord>-</errorWord>
      <group>L1_Format</group>
      <groupName>格式问题</groupName>
      <ability>L2_HalfPunc_CN</ability>
      <abilityName>全半角问题</abilityName>
      <candidateList>
        <item>－</item>
      </candidateList>
      <explain>文本全半角错误。</explain>
      <paraID>286A2AE3</paraID>
      <start>258</start>
      <end>259</end>
      <status>modified</status>
      <modifiedWord>－</modifiedWord>
      <trackRevisions>false</trackRevisions>
    </reviewItem>
    <reviewItem>
      <errorID>411c7755-217e-41fc-b778-9c9782cc5d35</errorID>
      <errorWord>-</errorWord>
      <group>L1_Format</group>
      <groupName>格式问题</groupName>
      <ability>L2_HalfPunc_CN</ability>
      <abilityName>全半角问题</abilityName>
      <candidateList>
        <item>－</item>
      </candidateList>
      <explain>文本全半角错误。</explain>
      <paraID>286A2AE3</paraID>
      <start>263</start>
      <end>264</end>
      <status>modified</status>
      <modifiedWord>－</modifiedWord>
      <trackRevisions>false</trackRevisions>
    </reviewItem>
    <reviewItem>
      <errorID>8bee4518-7b3e-41be-92d0-f2b6da887856</errorID>
      <errorWord>-</errorWord>
      <group>L1_Format</group>
      <groupName>格式问题</groupName>
      <ability>L2_HalfPunc_CN</ability>
      <abilityName>全半角问题</abilityName>
      <candidateList>
        <item>－</item>
      </candidateList>
      <explain>文本全半角错误。</explain>
      <paraID>286A2AE3</paraID>
      <start>268</start>
      <end>269</end>
      <status>modified</status>
      <modifiedWord>－</modifiedWord>
      <trackRevisions>false</trackRevisions>
    </reviewItem>
    <reviewItem>
      <errorID>e4204f82-fda8-4718-8d62-4677704d20a3</errorID>
      <errorWord>-</errorWord>
      <group>L1_Format</group>
      <groupName>格式问题</groupName>
      <ability>L2_HalfPunc_CN</ability>
      <abilityName>全半角问题</abilityName>
      <candidateList>
        <item>－</item>
      </candidateList>
      <explain>文本全半角错误。</explain>
      <paraID>286A2AE3</paraID>
      <start>273</start>
      <end>274</end>
      <status>modified</status>
      <modifiedWord>－</modifiedWord>
      <trackRevisions>false</trackRevisions>
    </reviewItem>
    <reviewItem>
      <errorID>b5ac4ae1-5cc4-425a-b6bd-aedd9cf6072e</errorID>
      <errorWord>移动</errorWord>
      <group>L1_Word</group>
      <groupName>字词问题</groupName>
      <ability>L2_Typo</ability>
      <abilityName>字词错误</abilityName>
      <candidateList>
        <item>等移动</item>
      </candidateList>
      <explain/>
      <paraID> 3208D63</paraID>
      <start>97</start>
      <end>100</end>
      <status>modified</status>
      <modifiedWord>等移动</modifiedWord>
      <trackRevisions>false</trackRevisions>
    </reviewItem>
    <reviewItem>
      <errorID>713a0bec-8442-4b26-928a-148d3e1644ac</errorID>
      <errorWord>：</errorWord>
      <group>L1_Punc</group>
      <groupName>标点问题</groupName>
      <ability>L2_Punc_CN</ability>
      <abilityName>标点符号问题</abilityName>
      <candidateList>
        <item>。</item>
      </candidateList>
      <explain/>
      <paraID> 3208D63</paraID>
      <start>303</start>
      <end>304</end>
      <status>modified</status>
      <modifiedWord>。</modifiedWord>
      <trackRevisions>false</trackRevisions>
    </reviewItem>
    <reviewItem>
      <errorID>2c22cb60-9217-4347-bed0-79a3aa8a0093</errorID>
      <errorWord>-</errorWord>
      <group>L1_Format</group>
      <groupName>格式问题</groupName>
      <ability>L2_HalfPunc_CN</ability>
      <abilityName>全半角问题</abilityName>
      <candidateList>
        <item>－</item>
      </candidateList>
      <explain>文本全半角错误。</explain>
      <paraID>3C1E3C70</paraID>
      <start>153</start>
      <end>154</end>
      <status>modified</status>
      <modifiedWord>－</modifiedWord>
      <trackRevisions>false</trackRevisions>
    </reviewItem>
    <reviewItem>
      <errorID>f34c386d-9aa3-4fa5-9c29-a5917bcc6304</errorID>
      <errorWord>-</errorWord>
      <group>L1_Format</group>
      <groupName>格式问题</groupName>
      <ability>L2_HalfPunc_CN</ability>
      <abilityName>全半角问题</abilityName>
      <candidateList>
        <item>－</item>
      </candidateList>
      <explain>文本全半角错误。</explain>
      <paraID>3C1E3C70</paraID>
      <start>158</start>
      <end>159</end>
      <status>modified</status>
      <modifiedWord>－</modifiedWord>
      <trackRevisions>false</trackRevisions>
    </reviewItem>
    <reviewItem>
      <errorID>72c6f486-2517-4442-91bb-419afb5dd11c</errorID>
      <errorWord>-</errorWord>
      <group>L1_Format</group>
      <groupName>格式问题</groupName>
      <ability>L2_HalfPunc_CN</ability>
      <abilityName>全半角问题</abilityName>
      <candidateList>
        <item>－</item>
      </candidateList>
      <explain>文本全半角错误。</explain>
      <paraID>3C1E3C70</paraID>
      <start>163</start>
      <end>164</end>
      <status>modified</status>
      <modifiedWord>－</modifiedWord>
      <trackRevisions>false</trackRevisions>
    </reviewItem>
    <reviewItem>
      <errorID>526709f2-8ccf-4c94-8f6a-1d11f9acb95a</errorID>
      <errorWord>-</errorWord>
      <group>L1_Format</group>
      <groupName>格式问题</groupName>
      <ability>L2_HalfPunc_CN</ability>
      <abilityName>全半角问题</abilityName>
      <candidateList>
        <item>－</item>
      </candidateList>
      <explain>文本全半角错误。</explain>
      <paraID>3C1E3C70</paraID>
      <start>168</start>
      <end>169</end>
      <status>modified</status>
      <modifiedWord>－</modifiedWord>
      <trackRevisions>false</trackRevisions>
    </reviewItem>
    <reviewItem>
      <errorID>c73740b5-2542-4fa2-92de-6ded9872c43e</errorID>
      <errorWord>-</errorWord>
      <group>L1_Format</group>
      <groupName>格式问题</groupName>
      <ability>L2_HalfPunc_CN</ability>
      <abilityName>全半角问题</abilityName>
      <candidateList>
        <item>－</item>
      </candidateList>
      <explain>文本全半角错误。</explain>
      <paraID>3C1E3C70</paraID>
      <start>173</start>
      <end>174</end>
      <status>modified</status>
      <modifiedWord>－</modifiedWord>
      <trackRevisions>false</trackRevisions>
    </reviewItem>
    <reviewItem>
      <errorID>30e01615-ac86-407e-b505-9bcd58f7c940</errorID>
      <errorWord>：</errorWord>
      <group>L1_Punc</group>
      <groupName>标点问题</groupName>
      <ability>L2_Punc_CN</ability>
      <abilityName>标点符号问题</abilityName>
      <candidateList>
        <item>。</item>
      </candidateList>
      <explain/>
      <paraID>5686F4B6</paraID>
      <start>21</start>
      <end>22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47e6d5c-b4f4-4ca3-9864-42599859bc1f}">
  <ds:schemaRefs/>
</ds:datastoreItem>
</file>

<file path=docProps/app.xml><?xml version="1.0" encoding="utf-8"?>
<Properties xmlns="http://schemas.openxmlformats.org/officeDocument/2006/extended-properties" xmlns:vt="http://schemas.openxmlformats.org/officeDocument/2006/docPropsVTypes">
  <Template>Normal.dotm</Template>
  <Pages>4</Pages>
  <Words>3693</Words>
  <Characters>3766</Characters>
  <Lines>0</Lines>
  <Paragraphs>0</Paragraphs>
  <TotalTime>9</TotalTime>
  <ScaleCrop>false</ScaleCrop>
  <LinksUpToDate>false</LinksUpToDate>
  <CharactersWithSpaces>3768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2026-09-18T01:01:00Z</dcterms:created>
  <dc:creator>Administrator</dc:creator>
  <cp:lastModifiedBy>明显</cp:lastModifiedBy>
  <dcterms:modified xsi:type="dcterms:W3CDTF">2026-09-20T06:22:55Z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eyJoZGlkIjoiZmUxNzMxODEwM2MwMzI2MTMxODcyYjQxMWFmM2YyNzMiLCJ1c2VySWQiOiIyNTc0MTA1NDIifQ==</vt:lpwstr>
  </property>
  <property fmtid="{D5CDD505-2E9C-101B-9397-08002B2CF9AE}" pid="4" name="ICV">
    <vt:lpwstr>D21E5813C8FF44B6AA82067B09C84790_13</vt:lpwstr>
  </property>
</Properties>
</file>