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01880">
      <w:pPr>
        <w:jc w:val="center"/>
      </w:pPr>
      <w:r>
        <w:rPr>
          <w:rFonts w:ascii="黑体" w:hAnsi="黑体" w:eastAsia="黑体" w:cs="黑体"/>
          <w:b/>
          <w:sz w:val="36"/>
        </w:rPr>
        <w:t>附件1　响应材料编制指引</w:t>
      </w:r>
    </w:p>
    <w:p w14:paraId="4C922CB8">
      <w:pPr>
        <w:jc w:val="center"/>
      </w:pPr>
      <w:r>
        <w:rPr>
          <w:rFonts w:ascii="仿宋" w:hAnsi="仿宋" w:eastAsia="仿宋" w:cs="仿宋"/>
          <w:sz w:val="24"/>
        </w:rPr>
        <w:t>云南省第一人民医院招标代理服务机构（货物类、服务类）入围项目竞争性比选</w:t>
      </w:r>
    </w:p>
    <w:p w14:paraId="781DB589">
      <w:pPr>
        <w:pStyle w:val="4"/>
      </w:pPr>
      <w:r>
        <w:rPr>
          <w:rFonts w:ascii="黑体" w:hAnsi="黑体" w:eastAsia="黑体" w:cs="黑体"/>
          <w:b/>
        </w:rPr>
        <w:t>一、总体要求</w:t>
      </w:r>
    </w:p>
    <w:p w14:paraId="2C6BF887">
      <w:pPr>
        <w:ind w:firstLine="480"/>
      </w:pPr>
      <w:r>
        <w:rPr>
          <w:rFonts w:ascii="仿宋" w:hAnsi="仿宋" w:eastAsia="仿宋" w:cs="仿宋"/>
          <w:b w:val="0"/>
          <w:sz w:val="24"/>
        </w:rPr>
        <w:t>1. 报名时按公告第3.1条递交报名资料（加盖公司公章）。响应材料电子版在截止时间前通过电子邮件发送至本院比选专用邮箱；纸质版一套在比选当天签到时递交。比选现场述标、答询，并单独递交密封报价函。</w:t>
      </w:r>
    </w:p>
    <w:p w14:paraId="70D67189">
      <w:pPr>
        <w:ind w:firstLine="480"/>
      </w:pPr>
      <w:r>
        <w:rPr>
          <w:rFonts w:ascii="仿宋" w:hAnsi="仿宋" w:eastAsia="仿宋" w:cs="仿宋"/>
          <w:b w:val="0"/>
          <w:sz w:val="24"/>
        </w:rPr>
        <w:t>2. 响应材料按本指引规定的章节顺序编制。</w:t>
      </w:r>
      <w:r>
        <w:rPr>
          <w:rFonts w:ascii="黑体" w:hAnsi="黑体" w:eastAsia="黑体" w:cs="黑体"/>
          <w:b w:val="0"/>
          <w:sz w:val="24"/>
        </w:rPr>
        <w:t>每章首页为本章“自评一览表”</w:t>
      </w:r>
      <w:r>
        <w:rPr>
          <w:rFonts w:ascii="仿宋" w:hAnsi="仿宋" w:eastAsia="仿宋" w:cs="仿宋"/>
          <w:b w:val="0"/>
          <w:sz w:val="24"/>
        </w:rPr>
        <w:t>，如实填写本机构在该章各方面的基本情况及证明材料所在页码。评审专家将先看一览表，再按页码查看证明材料。</w:t>
      </w:r>
    </w:p>
    <w:p w14:paraId="372C64A9">
      <w:pPr>
        <w:ind w:firstLine="480"/>
      </w:pPr>
      <w:r>
        <w:rPr>
          <w:rFonts w:ascii="仿宋" w:hAnsi="仿宋" w:eastAsia="仿宋" w:cs="仿宋"/>
          <w:b w:val="0"/>
          <w:sz w:val="24"/>
        </w:rPr>
        <w:t>3. 纸质版、PDF版、自评一览表Excel三者内容须一致；纸质版与电子版不一致的，以纸质版为准，由此产生的后果由响应人承担。</w:t>
      </w:r>
    </w:p>
    <w:p w14:paraId="3D7A4FD3">
      <w:pPr>
        <w:ind w:firstLine="480"/>
      </w:pPr>
      <w:r>
        <w:rPr>
          <w:rFonts w:ascii="仿宋" w:hAnsi="仿宋" w:eastAsia="仿宋" w:cs="仿宋"/>
          <w:b w:val="0"/>
          <w:sz w:val="24"/>
        </w:rPr>
        <w:t>4. 响应材料、自评一览表及述标PPT中</w:t>
      </w:r>
      <w:r>
        <w:rPr>
          <w:rFonts w:ascii="黑体" w:hAnsi="黑体" w:eastAsia="黑体" w:cs="黑体"/>
          <w:b w:val="0"/>
          <w:sz w:val="24"/>
        </w:rPr>
        <w:t>不得出现任何报价信息</w:t>
      </w:r>
      <w:r>
        <w:rPr>
          <w:rFonts w:ascii="仿宋" w:hAnsi="仿宋" w:eastAsia="仿宋" w:cs="仿宋"/>
          <w:b w:val="0"/>
          <w:sz w:val="24"/>
        </w:rPr>
        <w:t>。</w:t>
      </w:r>
    </w:p>
    <w:p w14:paraId="394EAF11">
      <w:pPr>
        <w:ind w:firstLine="480"/>
      </w:pPr>
      <w:r>
        <w:rPr>
          <w:rFonts w:ascii="仿宋" w:hAnsi="仿宋" w:eastAsia="仿宋" w:cs="仿宋"/>
          <w:b w:val="0"/>
          <w:sz w:val="24"/>
        </w:rPr>
        <w:t xml:space="preserve">5. </w:t>
      </w:r>
      <w:r>
        <w:rPr>
          <w:rFonts w:ascii="黑体" w:hAnsi="黑体" w:eastAsia="黑体" w:cs="黑体"/>
          <w:b w:val="0"/>
          <w:sz w:val="24"/>
        </w:rPr>
        <w:t>必须提供与补充提供</w:t>
      </w:r>
      <w:r>
        <w:rPr>
          <w:rFonts w:ascii="仿宋" w:hAnsi="仿宋" w:eastAsia="仿宋" w:cs="仿宋"/>
          <w:b w:val="0"/>
          <w:sz w:val="24"/>
        </w:rPr>
        <w:t>：第一章至第八章所列各节为必须提供的材料，缺少的视为未提供。在此之外，响应人认为能体现本机构服务能力的材料，可以在对应章节内补充提供；第九章为选择提供。</w:t>
      </w:r>
    </w:p>
    <w:p w14:paraId="6958D976">
      <w:pPr>
        <w:ind w:firstLine="480"/>
      </w:pPr>
      <w:r>
        <w:rPr>
          <w:rFonts w:ascii="仿宋" w:hAnsi="仿宋" w:eastAsia="仿宋" w:cs="仿宋"/>
          <w:b w:val="0"/>
          <w:sz w:val="24"/>
        </w:rPr>
        <w:t xml:space="preserve">6. </w:t>
      </w:r>
      <w:r>
        <w:rPr>
          <w:rFonts w:ascii="黑体" w:hAnsi="黑体" w:eastAsia="黑体" w:cs="黑体"/>
          <w:b w:val="0"/>
          <w:sz w:val="24"/>
        </w:rPr>
        <w:t>篇幅上限</w:t>
      </w:r>
      <w:r>
        <w:rPr>
          <w:rFonts w:ascii="仿宋" w:hAnsi="仿宋" w:eastAsia="仿宋" w:cs="仿宋"/>
          <w:b w:val="0"/>
          <w:sz w:val="24"/>
        </w:rPr>
        <w:t>：全套响应材料PDF不超过300页（含封面、目录及自评一览表），各章篇幅由响应人自行把控。超出上限的页面（即PDF第300页之后的页面）不予评审。请围绕本项目需要编写，避免堆砌与本项目无关的内容。</w:t>
      </w:r>
    </w:p>
    <w:p w14:paraId="272FC582">
      <w:pPr>
        <w:pStyle w:val="4"/>
      </w:pPr>
      <w:r>
        <w:rPr>
          <w:rFonts w:ascii="黑体" w:hAnsi="黑体" w:eastAsia="黑体" w:cs="黑体"/>
          <w:b/>
        </w:rPr>
        <w:t>二、响应材料结构</w:t>
      </w:r>
    </w:p>
    <w:p w14:paraId="1C86B96C">
      <w:pPr>
        <w:ind w:firstLine="480"/>
      </w:pPr>
      <w:r>
        <w:rPr>
          <w:rFonts w:ascii="仿宋" w:hAnsi="仿宋" w:eastAsia="仿宋" w:cs="仿宋"/>
          <w:b w:val="0"/>
          <w:sz w:val="24"/>
        </w:rPr>
        <w:t>全套响应材料按以下顺序编排。建议直接使用附件1-1《响应材料目录模板》（Word）编写，模板中的章节标题已设好样式，导出PDF时可自动生成书签。</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928"/>
        <w:gridCol w:w="5783"/>
        <w:gridCol w:w="794"/>
      </w:tblGrid>
      <w:tr w14:paraId="3A102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07" w:type="dxa"/>
            <w:shd w:val="clear" w:color="auto" w:fill="D9E2F3"/>
          </w:tcPr>
          <w:p w14:paraId="42310BAA">
            <w:pPr>
              <w:spacing w:after="0" w:line="240" w:lineRule="auto"/>
              <w:jc w:val="center"/>
            </w:pPr>
            <w:r>
              <w:rPr>
                <w:rFonts w:ascii="黑体" w:hAnsi="黑体" w:eastAsia="黑体" w:cs="黑体"/>
                <w:b/>
                <w:sz w:val="19"/>
              </w:rPr>
              <w:t>章</w:t>
            </w:r>
          </w:p>
        </w:tc>
        <w:tc>
          <w:tcPr>
            <w:tcW w:w="1928" w:type="dxa"/>
            <w:shd w:val="clear" w:color="auto" w:fill="D9E2F3"/>
          </w:tcPr>
          <w:p w14:paraId="28832190">
            <w:pPr>
              <w:spacing w:after="0" w:line="240" w:lineRule="auto"/>
              <w:jc w:val="center"/>
            </w:pPr>
            <w:r>
              <w:rPr>
                <w:rFonts w:ascii="黑体" w:hAnsi="黑体" w:eastAsia="黑体" w:cs="黑体"/>
                <w:b/>
                <w:sz w:val="19"/>
              </w:rPr>
              <w:t>名称</w:t>
            </w:r>
          </w:p>
        </w:tc>
        <w:tc>
          <w:tcPr>
            <w:tcW w:w="5783" w:type="dxa"/>
            <w:shd w:val="clear" w:color="auto" w:fill="D9E2F3"/>
          </w:tcPr>
          <w:p w14:paraId="3CDA72D8">
            <w:pPr>
              <w:spacing w:after="0" w:line="240" w:lineRule="auto"/>
              <w:jc w:val="center"/>
            </w:pPr>
            <w:r>
              <w:rPr>
                <w:rFonts w:ascii="黑体" w:hAnsi="黑体" w:eastAsia="黑体" w:cs="黑体"/>
                <w:b/>
                <w:sz w:val="19"/>
              </w:rPr>
              <w:t>内容（每节单独起页）</w:t>
            </w:r>
          </w:p>
        </w:tc>
        <w:tc>
          <w:tcPr>
            <w:tcW w:w="794" w:type="dxa"/>
            <w:shd w:val="clear" w:color="auto" w:fill="D9E2F3"/>
          </w:tcPr>
          <w:p w14:paraId="27E59E0F">
            <w:pPr>
              <w:spacing w:after="0" w:line="240" w:lineRule="auto"/>
              <w:jc w:val="center"/>
            </w:pPr>
            <w:r>
              <w:rPr>
                <w:rFonts w:ascii="黑体" w:hAnsi="黑体" w:eastAsia="黑体" w:cs="黑体"/>
                <w:b/>
                <w:sz w:val="19"/>
              </w:rPr>
              <w:t>提供</w:t>
            </w:r>
          </w:p>
        </w:tc>
      </w:tr>
      <w:tr w14:paraId="5509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3FAEDD09">
            <w:pPr>
              <w:spacing w:after="0" w:line="240" w:lineRule="auto"/>
              <w:jc w:val="center"/>
            </w:pPr>
            <w:r>
              <w:rPr>
                <w:rFonts w:ascii="仿宋" w:hAnsi="仿宋" w:eastAsia="仿宋" w:cs="仿宋"/>
                <w:sz w:val="19"/>
              </w:rPr>
              <w:t>—</w:t>
            </w:r>
          </w:p>
        </w:tc>
        <w:tc>
          <w:tcPr>
            <w:tcW w:w="1928" w:type="dxa"/>
          </w:tcPr>
          <w:p w14:paraId="66F20E76">
            <w:pPr>
              <w:spacing w:after="0" w:line="240" w:lineRule="auto"/>
            </w:pPr>
            <w:r>
              <w:rPr>
                <w:rFonts w:ascii="仿宋" w:hAnsi="仿宋" w:eastAsia="仿宋" w:cs="仿宋"/>
                <w:sz w:val="19"/>
              </w:rPr>
              <w:t>封面</w:t>
            </w:r>
          </w:p>
        </w:tc>
        <w:tc>
          <w:tcPr>
            <w:tcW w:w="5783" w:type="dxa"/>
          </w:tcPr>
          <w:p w14:paraId="583DCFCE">
            <w:pPr>
              <w:spacing w:after="0" w:line="240" w:lineRule="auto"/>
            </w:pPr>
            <w:r>
              <w:rPr>
                <w:rFonts w:ascii="仿宋" w:hAnsi="仿宋" w:eastAsia="仿宋" w:cs="仿宋"/>
                <w:sz w:val="19"/>
              </w:rPr>
              <w:t>项目名称、响应人全称、日期，加盖公章</w:t>
            </w:r>
          </w:p>
        </w:tc>
        <w:tc>
          <w:tcPr>
            <w:tcW w:w="794" w:type="dxa"/>
          </w:tcPr>
          <w:p w14:paraId="4D14169E">
            <w:pPr>
              <w:spacing w:after="0" w:line="240" w:lineRule="auto"/>
              <w:jc w:val="center"/>
            </w:pPr>
            <w:r>
              <w:rPr>
                <w:rFonts w:ascii="仿宋" w:hAnsi="仿宋" w:eastAsia="仿宋" w:cs="仿宋"/>
                <w:sz w:val="19"/>
              </w:rPr>
              <w:t>—</w:t>
            </w:r>
          </w:p>
        </w:tc>
      </w:tr>
      <w:tr w14:paraId="6735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26AB2AF8">
            <w:pPr>
              <w:spacing w:after="0" w:line="240" w:lineRule="auto"/>
              <w:jc w:val="center"/>
            </w:pPr>
            <w:r>
              <w:rPr>
                <w:rFonts w:ascii="仿宋" w:hAnsi="仿宋" w:eastAsia="仿宋" w:cs="仿宋"/>
                <w:sz w:val="19"/>
              </w:rPr>
              <w:t>—</w:t>
            </w:r>
          </w:p>
        </w:tc>
        <w:tc>
          <w:tcPr>
            <w:tcW w:w="1928" w:type="dxa"/>
          </w:tcPr>
          <w:p w14:paraId="2995EDDC">
            <w:pPr>
              <w:spacing w:after="0" w:line="240" w:lineRule="auto"/>
            </w:pPr>
            <w:r>
              <w:rPr>
                <w:rFonts w:ascii="仿宋" w:hAnsi="仿宋" w:eastAsia="仿宋" w:cs="仿宋"/>
                <w:sz w:val="19"/>
              </w:rPr>
              <w:t>目录</w:t>
            </w:r>
          </w:p>
        </w:tc>
        <w:tc>
          <w:tcPr>
            <w:tcW w:w="5783" w:type="dxa"/>
          </w:tcPr>
          <w:p w14:paraId="7F720C74">
            <w:pPr>
              <w:spacing w:after="0" w:line="240" w:lineRule="auto"/>
            </w:pPr>
            <w:r>
              <w:rPr>
                <w:rFonts w:ascii="仿宋" w:hAnsi="仿宋" w:eastAsia="仿宋" w:cs="仿宋"/>
                <w:sz w:val="19"/>
              </w:rPr>
              <w:t>列至节，注明页码</w:t>
            </w:r>
          </w:p>
        </w:tc>
        <w:tc>
          <w:tcPr>
            <w:tcW w:w="794" w:type="dxa"/>
          </w:tcPr>
          <w:p w14:paraId="24EBC18E">
            <w:pPr>
              <w:spacing w:after="0" w:line="240" w:lineRule="auto"/>
              <w:jc w:val="center"/>
            </w:pPr>
            <w:r>
              <w:rPr>
                <w:rFonts w:ascii="仿宋" w:hAnsi="仿宋" w:eastAsia="仿宋" w:cs="仿宋"/>
                <w:sz w:val="19"/>
              </w:rPr>
              <w:t>—</w:t>
            </w:r>
          </w:p>
        </w:tc>
      </w:tr>
      <w:tr w14:paraId="6081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4CDF1D9F">
            <w:pPr>
              <w:spacing w:after="0" w:line="240" w:lineRule="auto"/>
              <w:jc w:val="center"/>
            </w:pPr>
            <w:r>
              <w:rPr>
                <w:rFonts w:ascii="仿宋" w:hAnsi="仿宋" w:eastAsia="仿宋" w:cs="仿宋"/>
                <w:sz w:val="19"/>
              </w:rPr>
              <w:t>—</w:t>
            </w:r>
          </w:p>
        </w:tc>
        <w:tc>
          <w:tcPr>
            <w:tcW w:w="1928" w:type="dxa"/>
          </w:tcPr>
          <w:p w14:paraId="01183757">
            <w:pPr>
              <w:spacing w:after="0" w:line="240" w:lineRule="auto"/>
            </w:pPr>
            <w:r>
              <w:rPr>
                <w:rFonts w:ascii="仿宋" w:hAnsi="仿宋" w:eastAsia="仿宋" w:cs="仿宋"/>
                <w:sz w:val="19"/>
              </w:rPr>
              <w:t>总览 自评一览表</w:t>
            </w:r>
          </w:p>
        </w:tc>
        <w:tc>
          <w:tcPr>
            <w:tcW w:w="5783" w:type="dxa"/>
          </w:tcPr>
          <w:p w14:paraId="3FEF980D">
            <w:pPr>
              <w:spacing w:after="0" w:line="240" w:lineRule="auto"/>
            </w:pPr>
            <w:r>
              <w:rPr>
                <w:rFonts w:ascii="仿宋" w:hAnsi="仿宋" w:eastAsia="仿宋" w:cs="仿宋"/>
                <w:sz w:val="19"/>
              </w:rPr>
              <w:t>附件2“总览”工作表，打印盖章</w:t>
            </w:r>
          </w:p>
        </w:tc>
        <w:tc>
          <w:tcPr>
            <w:tcW w:w="794" w:type="dxa"/>
          </w:tcPr>
          <w:p w14:paraId="599A91E2">
            <w:pPr>
              <w:spacing w:after="0" w:line="240" w:lineRule="auto"/>
              <w:jc w:val="center"/>
            </w:pPr>
            <w:r>
              <w:rPr>
                <w:rFonts w:ascii="仿宋" w:hAnsi="仿宋" w:eastAsia="仿宋" w:cs="仿宋"/>
                <w:sz w:val="19"/>
              </w:rPr>
              <w:t>必须</w:t>
            </w:r>
          </w:p>
        </w:tc>
      </w:tr>
      <w:tr w14:paraId="13CC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29E5DF19">
            <w:pPr>
              <w:spacing w:after="0" w:line="240" w:lineRule="auto"/>
              <w:jc w:val="center"/>
            </w:pPr>
            <w:r>
              <w:rPr>
                <w:rFonts w:ascii="仿宋" w:hAnsi="仿宋" w:eastAsia="仿宋" w:cs="仿宋"/>
                <w:sz w:val="19"/>
              </w:rPr>
              <w:t>第一章</w:t>
            </w:r>
          </w:p>
        </w:tc>
        <w:tc>
          <w:tcPr>
            <w:tcW w:w="1928" w:type="dxa"/>
          </w:tcPr>
          <w:p w14:paraId="4B47FC52">
            <w:pPr>
              <w:spacing w:after="0" w:line="240" w:lineRule="auto"/>
            </w:pPr>
            <w:r>
              <w:rPr>
                <w:rFonts w:ascii="仿宋" w:hAnsi="仿宋" w:eastAsia="仿宋" w:cs="仿宋"/>
                <w:sz w:val="19"/>
              </w:rPr>
              <w:t>资格证明材料</w:t>
            </w:r>
          </w:p>
        </w:tc>
        <w:tc>
          <w:tcPr>
            <w:tcW w:w="5783" w:type="dxa"/>
          </w:tcPr>
          <w:p w14:paraId="0A3582AE">
            <w:pPr>
              <w:spacing w:after="0" w:line="240" w:lineRule="auto"/>
            </w:pPr>
            <w:r>
              <w:rPr>
                <w:rFonts w:ascii="仿宋" w:hAnsi="仿宋" w:eastAsia="仿宋" w:cs="仿宋"/>
                <w:sz w:val="19"/>
              </w:rPr>
              <w:t>本章自评一览表；1.1 营业执照（三证合一）；1.2 法定代表人身份证、经办人身份证、法定代表人授权书；1.3 无犯罪承诺书；“信用中国”及中国政府采购网查询截图；1.4 政府采购代理机构备案（注册登记）截图；1.5 依法纳税证明（2026年1月以来任意2个月）；1.6 社会保险缴纳证明（2026年1月以来任意2个月）；1.7 2024或2025年度财务审计报告（成立不足三年的，提供近半年内开户银行出具的资信证明或资金存款证明）；1.8 近三年经营活动无重大违法记录书面声明；1.9 服务承诺函（公告1.7条）；1.10 项目负责人及项目组成员稳定性承诺函（公告3.2条）</w:t>
            </w:r>
          </w:p>
        </w:tc>
        <w:tc>
          <w:tcPr>
            <w:tcW w:w="794" w:type="dxa"/>
          </w:tcPr>
          <w:p w14:paraId="4A09D11D">
            <w:pPr>
              <w:spacing w:after="0" w:line="240" w:lineRule="auto"/>
              <w:jc w:val="center"/>
            </w:pPr>
            <w:r>
              <w:rPr>
                <w:rFonts w:ascii="仿宋" w:hAnsi="仿宋" w:eastAsia="仿宋" w:cs="仿宋"/>
                <w:sz w:val="19"/>
              </w:rPr>
              <w:t>必须</w:t>
            </w:r>
          </w:p>
        </w:tc>
      </w:tr>
      <w:tr w14:paraId="30B9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7BD4CD43">
            <w:pPr>
              <w:spacing w:after="0" w:line="240" w:lineRule="auto"/>
              <w:jc w:val="center"/>
            </w:pPr>
            <w:r>
              <w:rPr>
                <w:rFonts w:ascii="仿宋" w:hAnsi="仿宋" w:eastAsia="仿宋" w:cs="仿宋"/>
                <w:sz w:val="19"/>
              </w:rPr>
              <w:t>第二章</w:t>
            </w:r>
          </w:p>
        </w:tc>
        <w:tc>
          <w:tcPr>
            <w:tcW w:w="1928" w:type="dxa"/>
          </w:tcPr>
          <w:p w14:paraId="774D637C">
            <w:pPr>
              <w:spacing w:after="0" w:line="240" w:lineRule="auto"/>
            </w:pPr>
            <w:r>
              <w:rPr>
                <w:rFonts w:ascii="仿宋" w:hAnsi="仿宋" w:eastAsia="仿宋" w:cs="仿宋"/>
                <w:sz w:val="19"/>
              </w:rPr>
              <w:t>服务质量保障</w:t>
            </w:r>
          </w:p>
        </w:tc>
        <w:tc>
          <w:tcPr>
            <w:tcW w:w="5783" w:type="dxa"/>
          </w:tcPr>
          <w:p w14:paraId="7CEA9885">
            <w:pPr>
              <w:spacing w:after="0" w:line="240" w:lineRule="auto"/>
            </w:pPr>
            <w:r>
              <w:rPr>
                <w:rFonts w:ascii="仿宋" w:hAnsi="仿宋" w:eastAsia="仿宋" w:cs="仿宋"/>
                <w:sz w:val="19"/>
              </w:rPr>
              <w:t>本章自评一览表；2.1 服务质量承诺（含违约责任）；2.2 质量管理措施与控制机制</w:t>
            </w:r>
          </w:p>
        </w:tc>
        <w:tc>
          <w:tcPr>
            <w:tcW w:w="794" w:type="dxa"/>
          </w:tcPr>
          <w:p w14:paraId="06FBBB14">
            <w:pPr>
              <w:spacing w:after="0" w:line="240" w:lineRule="auto"/>
              <w:jc w:val="center"/>
            </w:pPr>
            <w:r>
              <w:rPr>
                <w:rFonts w:ascii="仿宋" w:hAnsi="仿宋" w:eastAsia="仿宋" w:cs="仿宋"/>
                <w:sz w:val="19"/>
              </w:rPr>
              <w:t>必须</w:t>
            </w:r>
          </w:p>
        </w:tc>
      </w:tr>
      <w:tr w14:paraId="53E2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0A03252F">
            <w:pPr>
              <w:spacing w:after="0" w:line="240" w:lineRule="auto"/>
              <w:jc w:val="center"/>
            </w:pPr>
            <w:r>
              <w:rPr>
                <w:rFonts w:ascii="仿宋" w:hAnsi="仿宋" w:eastAsia="仿宋" w:cs="仿宋"/>
                <w:sz w:val="19"/>
              </w:rPr>
              <w:t>第三章</w:t>
            </w:r>
          </w:p>
        </w:tc>
        <w:tc>
          <w:tcPr>
            <w:tcW w:w="1928" w:type="dxa"/>
          </w:tcPr>
          <w:p w14:paraId="5AEEB0BE">
            <w:pPr>
              <w:spacing w:after="0" w:line="240" w:lineRule="auto"/>
            </w:pPr>
            <w:r>
              <w:rPr>
                <w:rFonts w:ascii="仿宋" w:hAnsi="仿宋" w:eastAsia="仿宋" w:cs="仿宋"/>
                <w:sz w:val="19"/>
              </w:rPr>
              <w:t>廉洁管理</w:t>
            </w:r>
          </w:p>
        </w:tc>
        <w:tc>
          <w:tcPr>
            <w:tcW w:w="5783" w:type="dxa"/>
          </w:tcPr>
          <w:p w14:paraId="585D3988">
            <w:pPr>
              <w:spacing w:after="0" w:line="240" w:lineRule="auto"/>
            </w:pPr>
            <w:r>
              <w:rPr>
                <w:rFonts w:ascii="仿宋" w:hAnsi="仿宋" w:eastAsia="仿宋" w:cs="仿宋"/>
                <w:sz w:val="19"/>
              </w:rPr>
              <w:t>本章自评一览表；3.1 廉洁承诺书（加盖公章）；3.2 廉洁保证措施</w:t>
            </w:r>
          </w:p>
        </w:tc>
        <w:tc>
          <w:tcPr>
            <w:tcW w:w="794" w:type="dxa"/>
          </w:tcPr>
          <w:p w14:paraId="7E2DC7B7">
            <w:pPr>
              <w:spacing w:after="0" w:line="240" w:lineRule="auto"/>
              <w:jc w:val="center"/>
            </w:pPr>
            <w:r>
              <w:rPr>
                <w:rFonts w:ascii="仿宋" w:hAnsi="仿宋" w:eastAsia="仿宋" w:cs="仿宋"/>
                <w:sz w:val="19"/>
              </w:rPr>
              <w:t>必须</w:t>
            </w:r>
          </w:p>
        </w:tc>
      </w:tr>
      <w:tr w14:paraId="63C47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006DB522">
            <w:pPr>
              <w:spacing w:after="0" w:line="240" w:lineRule="auto"/>
              <w:jc w:val="center"/>
            </w:pPr>
            <w:r>
              <w:rPr>
                <w:rFonts w:ascii="仿宋" w:hAnsi="仿宋" w:eastAsia="仿宋" w:cs="仿宋"/>
                <w:sz w:val="19"/>
              </w:rPr>
              <w:t>第四章</w:t>
            </w:r>
          </w:p>
        </w:tc>
        <w:tc>
          <w:tcPr>
            <w:tcW w:w="1928" w:type="dxa"/>
          </w:tcPr>
          <w:p w14:paraId="656AF8A9">
            <w:pPr>
              <w:spacing w:after="0" w:line="240" w:lineRule="auto"/>
            </w:pPr>
            <w:r>
              <w:rPr>
                <w:rFonts w:ascii="仿宋" w:hAnsi="仿宋" w:eastAsia="仿宋" w:cs="仿宋"/>
                <w:sz w:val="19"/>
              </w:rPr>
              <w:t>办公场所及开评标设施</w:t>
            </w:r>
          </w:p>
        </w:tc>
        <w:tc>
          <w:tcPr>
            <w:tcW w:w="5783" w:type="dxa"/>
          </w:tcPr>
          <w:p w14:paraId="590F7086">
            <w:pPr>
              <w:spacing w:after="0" w:line="240" w:lineRule="auto"/>
            </w:pPr>
            <w:r>
              <w:rPr>
                <w:rFonts w:ascii="仿宋" w:hAnsi="仿宋" w:eastAsia="仿宋" w:cs="仿宋"/>
                <w:sz w:val="19"/>
              </w:rPr>
              <w:t>本章自评一览表；4.1 固定办公场所及权属证明（产权证、租赁合同或购房合同）；4.2 开标室、评标室及录音录像设备（附照片）；4.3 监督室及其他配套设施（附照片）；4.4 政采云项目实施能力证明</w:t>
            </w:r>
          </w:p>
        </w:tc>
        <w:tc>
          <w:tcPr>
            <w:tcW w:w="794" w:type="dxa"/>
          </w:tcPr>
          <w:p w14:paraId="46644407">
            <w:pPr>
              <w:spacing w:after="0" w:line="240" w:lineRule="auto"/>
              <w:jc w:val="center"/>
            </w:pPr>
            <w:r>
              <w:rPr>
                <w:rFonts w:ascii="仿宋" w:hAnsi="仿宋" w:eastAsia="仿宋" w:cs="仿宋"/>
                <w:sz w:val="19"/>
              </w:rPr>
              <w:t>必须</w:t>
            </w:r>
          </w:p>
        </w:tc>
      </w:tr>
      <w:tr w14:paraId="0D1E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227847A5">
            <w:pPr>
              <w:spacing w:after="0" w:line="240" w:lineRule="auto"/>
              <w:jc w:val="center"/>
            </w:pPr>
            <w:r>
              <w:rPr>
                <w:rFonts w:ascii="仿宋" w:hAnsi="仿宋" w:eastAsia="仿宋" w:cs="仿宋"/>
                <w:sz w:val="19"/>
              </w:rPr>
              <w:t>第五章</w:t>
            </w:r>
          </w:p>
        </w:tc>
        <w:tc>
          <w:tcPr>
            <w:tcW w:w="1928" w:type="dxa"/>
          </w:tcPr>
          <w:p w14:paraId="3FAED7A7">
            <w:pPr>
              <w:spacing w:after="0" w:line="240" w:lineRule="auto"/>
            </w:pPr>
            <w:r>
              <w:rPr>
                <w:rFonts w:ascii="仿宋" w:hAnsi="仿宋" w:eastAsia="仿宋" w:cs="仿宋"/>
                <w:sz w:val="19"/>
              </w:rPr>
              <w:t>招标代理服务工作方案</w:t>
            </w:r>
          </w:p>
        </w:tc>
        <w:tc>
          <w:tcPr>
            <w:tcW w:w="5783" w:type="dxa"/>
          </w:tcPr>
          <w:p w14:paraId="5388695E">
            <w:pPr>
              <w:spacing w:after="0" w:line="240" w:lineRule="auto"/>
            </w:pPr>
            <w:r>
              <w:rPr>
                <w:rFonts w:ascii="仿宋" w:hAnsi="仿宋" w:eastAsia="仿宋" w:cs="仿宋"/>
                <w:sz w:val="19"/>
              </w:rPr>
              <w:t>本章自评一览表；5.1 机构管理能力；5.2 内部工作制度（含保密管理）；5.3 采购需求管理；5.4 采购流程组织；5.5 采购文件质量把控；5.6 质疑投诉处理；5.7 政府采购政策应用；5.8 风险控制；5.9 述标材料（现场述标PPT，导出PDF附于本节）；5.10 增值服务</w:t>
            </w:r>
          </w:p>
        </w:tc>
        <w:tc>
          <w:tcPr>
            <w:tcW w:w="794" w:type="dxa"/>
          </w:tcPr>
          <w:p w14:paraId="0DCC6C7A">
            <w:pPr>
              <w:spacing w:after="0" w:line="240" w:lineRule="auto"/>
              <w:jc w:val="center"/>
            </w:pPr>
            <w:r>
              <w:rPr>
                <w:rFonts w:ascii="仿宋" w:hAnsi="仿宋" w:eastAsia="仿宋" w:cs="仿宋"/>
                <w:sz w:val="19"/>
              </w:rPr>
              <w:t>必须</w:t>
            </w:r>
          </w:p>
        </w:tc>
      </w:tr>
      <w:tr w14:paraId="437A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01AE2416">
            <w:pPr>
              <w:spacing w:after="0" w:line="240" w:lineRule="auto"/>
              <w:jc w:val="center"/>
            </w:pPr>
            <w:r>
              <w:rPr>
                <w:rFonts w:ascii="仿宋" w:hAnsi="仿宋" w:eastAsia="仿宋" w:cs="仿宋"/>
                <w:sz w:val="19"/>
              </w:rPr>
              <w:t>第六章</w:t>
            </w:r>
          </w:p>
        </w:tc>
        <w:tc>
          <w:tcPr>
            <w:tcW w:w="1928" w:type="dxa"/>
          </w:tcPr>
          <w:p w14:paraId="3E92A80C">
            <w:pPr>
              <w:spacing w:after="0" w:line="240" w:lineRule="auto"/>
            </w:pPr>
            <w:r>
              <w:rPr>
                <w:rFonts w:ascii="仿宋" w:hAnsi="仿宋" w:eastAsia="仿宋" w:cs="仿宋"/>
                <w:sz w:val="19"/>
              </w:rPr>
              <w:t>档案管理</w:t>
            </w:r>
          </w:p>
        </w:tc>
        <w:tc>
          <w:tcPr>
            <w:tcW w:w="5783" w:type="dxa"/>
          </w:tcPr>
          <w:p w14:paraId="21B11C53">
            <w:pPr>
              <w:spacing w:after="0" w:line="240" w:lineRule="auto"/>
            </w:pPr>
            <w:r>
              <w:rPr>
                <w:rFonts w:ascii="仿宋" w:hAnsi="仿宋" w:eastAsia="仿宋" w:cs="仿宋"/>
                <w:sz w:val="19"/>
              </w:rPr>
              <w:t>本章自评一览表；6.1 档案管理制度；6.2 档案保管场所及设施（附权属证明、照片）；6.3 电子化档案管理</w:t>
            </w:r>
          </w:p>
        </w:tc>
        <w:tc>
          <w:tcPr>
            <w:tcW w:w="794" w:type="dxa"/>
          </w:tcPr>
          <w:p w14:paraId="2721D2CC">
            <w:pPr>
              <w:spacing w:after="0" w:line="240" w:lineRule="auto"/>
              <w:jc w:val="center"/>
            </w:pPr>
            <w:r>
              <w:rPr>
                <w:rFonts w:ascii="仿宋" w:hAnsi="仿宋" w:eastAsia="仿宋" w:cs="仿宋"/>
                <w:sz w:val="19"/>
              </w:rPr>
              <w:t>必须</w:t>
            </w:r>
          </w:p>
        </w:tc>
      </w:tr>
      <w:tr w14:paraId="41EC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1FD3CBE1">
            <w:pPr>
              <w:spacing w:after="0" w:line="240" w:lineRule="auto"/>
              <w:jc w:val="center"/>
            </w:pPr>
            <w:r>
              <w:rPr>
                <w:rFonts w:ascii="仿宋" w:hAnsi="仿宋" w:eastAsia="仿宋" w:cs="仿宋"/>
                <w:sz w:val="19"/>
              </w:rPr>
              <w:t>第七章</w:t>
            </w:r>
          </w:p>
        </w:tc>
        <w:tc>
          <w:tcPr>
            <w:tcW w:w="1928" w:type="dxa"/>
          </w:tcPr>
          <w:p w14:paraId="4132E73E">
            <w:pPr>
              <w:spacing w:after="0" w:line="240" w:lineRule="auto"/>
            </w:pPr>
            <w:r>
              <w:rPr>
                <w:rFonts w:ascii="仿宋" w:hAnsi="仿宋" w:eastAsia="仿宋" w:cs="仿宋"/>
                <w:sz w:val="19"/>
              </w:rPr>
              <w:t>类似项目业绩</w:t>
            </w:r>
          </w:p>
        </w:tc>
        <w:tc>
          <w:tcPr>
            <w:tcW w:w="5783" w:type="dxa"/>
          </w:tcPr>
          <w:p w14:paraId="464E937B">
            <w:pPr>
              <w:spacing w:after="0" w:line="240" w:lineRule="auto"/>
            </w:pPr>
            <w:r>
              <w:rPr>
                <w:rFonts w:ascii="仿宋" w:hAnsi="仿宋" w:eastAsia="仿宋" w:cs="仿宋"/>
                <w:sz w:val="19"/>
              </w:rPr>
              <w:t>本章自评一览表；7.1 业绩证明材料（按清单序号顺序排列）</w:t>
            </w:r>
          </w:p>
        </w:tc>
        <w:tc>
          <w:tcPr>
            <w:tcW w:w="794" w:type="dxa"/>
          </w:tcPr>
          <w:p w14:paraId="1AF9D55B">
            <w:pPr>
              <w:spacing w:after="0" w:line="240" w:lineRule="auto"/>
              <w:jc w:val="center"/>
            </w:pPr>
            <w:r>
              <w:rPr>
                <w:rFonts w:ascii="仿宋" w:hAnsi="仿宋" w:eastAsia="仿宋" w:cs="仿宋"/>
                <w:sz w:val="19"/>
              </w:rPr>
              <w:t>必须</w:t>
            </w:r>
          </w:p>
        </w:tc>
      </w:tr>
      <w:tr w14:paraId="5FD5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03A018DE">
            <w:pPr>
              <w:spacing w:after="0" w:line="240" w:lineRule="auto"/>
              <w:jc w:val="center"/>
            </w:pPr>
            <w:r>
              <w:rPr>
                <w:rFonts w:ascii="仿宋" w:hAnsi="仿宋" w:eastAsia="仿宋" w:cs="仿宋"/>
                <w:sz w:val="19"/>
              </w:rPr>
              <w:t>第八章</w:t>
            </w:r>
          </w:p>
        </w:tc>
        <w:tc>
          <w:tcPr>
            <w:tcW w:w="1928" w:type="dxa"/>
          </w:tcPr>
          <w:p w14:paraId="20682923">
            <w:pPr>
              <w:spacing w:after="0" w:line="240" w:lineRule="auto"/>
            </w:pPr>
            <w:r>
              <w:rPr>
                <w:rFonts w:ascii="仿宋" w:hAnsi="仿宋" w:eastAsia="仿宋" w:cs="仿宋"/>
                <w:sz w:val="19"/>
              </w:rPr>
              <w:t>项目团队</w:t>
            </w:r>
          </w:p>
        </w:tc>
        <w:tc>
          <w:tcPr>
            <w:tcW w:w="5783" w:type="dxa"/>
          </w:tcPr>
          <w:p w14:paraId="2D04CAE9">
            <w:pPr>
              <w:spacing w:after="0" w:line="240" w:lineRule="auto"/>
            </w:pPr>
            <w:r>
              <w:rPr>
                <w:rFonts w:ascii="仿宋" w:hAnsi="仿宋" w:eastAsia="仿宋" w:cs="仿宋"/>
                <w:sz w:val="19"/>
              </w:rPr>
              <w:t>本章自评一览表；8.1 项目负责人证明材料；8.2 项目组成员证明材料（按情况表序号顺序排列）</w:t>
            </w:r>
          </w:p>
        </w:tc>
        <w:tc>
          <w:tcPr>
            <w:tcW w:w="794" w:type="dxa"/>
          </w:tcPr>
          <w:p w14:paraId="6B2F4185">
            <w:pPr>
              <w:spacing w:after="0" w:line="240" w:lineRule="auto"/>
              <w:jc w:val="center"/>
            </w:pPr>
            <w:r>
              <w:rPr>
                <w:rFonts w:ascii="仿宋" w:hAnsi="仿宋" w:eastAsia="仿宋" w:cs="仿宋"/>
                <w:sz w:val="19"/>
              </w:rPr>
              <w:t>必须</w:t>
            </w:r>
          </w:p>
        </w:tc>
      </w:tr>
      <w:tr w14:paraId="47B25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458F75EF">
            <w:pPr>
              <w:spacing w:after="0" w:line="240" w:lineRule="auto"/>
              <w:jc w:val="center"/>
            </w:pPr>
            <w:r>
              <w:rPr>
                <w:rFonts w:ascii="仿宋" w:hAnsi="仿宋" w:eastAsia="仿宋" w:cs="仿宋"/>
                <w:sz w:val="19"/>
              </w:rPr>
              <w:t>第九章</w:t>
            </w:r>
          </w:p>
        </w:tc>
        <w:tc>
          <w:tcPr>
            <w:tcW w:w="1928" w:type="dxa"/>
          </w:tcPr>
          <w:p w14:paraId="544B90D6">
            <w:pPr>
              <w:spacing w:after="0" w:line="240" w:lineRule="auto"/>
            </w:pPr>
            <w:r>
              <w:rPr>
                <w:rFonts w:ascii="仿宋" w:hAnsi="仿宋" w:eastAsia="仿宋" w:cs="仿宋"/>
                <w:sz w:val="19"/>
              </w:rPr>
              <w:t>荣誉奖励及其他材料</w:t>
            </w:r>
          </w:p>
        </w:tc>
        <w:tc>
          <w:tcPr>
            <w:tcW w:w="5783" w:type="dxa"/>
          </w:tcPr>
          <w:p w14:paraId="24D05690">
            <w:pPr>
              <w:spacing w:after="0" w:line="240" w:lineRule="auto"/>
            </w:pPr>
            <w:r>
              <w:rPr>
                <w:rFonts w:ascii="仿宋" w:hAnsi="仿宋" w:eastAsia="仿宋" w:cs="仿宋"/>
                <w:sz w:val="19"/>
              </w:rPr>
              <w:t>本章自评一览表；9.1 证书、行业荣誉及奖励；9.2 其他材料</w:t>
            </w:r>
          </w:p>
        </w:tc>
        <w:tc>
          <w:tcPr>
            <w:tcW w:w="794" w:type="dxa"/>
          </w:tcPr>
          <w:p w14:paraId="14322724">
            <w:pPr>
              <w:spacing w:after="0" w:line="240" w:lineRule="auto"/>
              <w:jc w:val="center"/>
            </w:pPr>
            <w:r>
              <w:rPr>
                <w:rFonts w:ascii="仿宋" w:hAnsi="仿宋" w:eastAsia="仿宋" w:cs="仿宋"/>
                <w:sz w:val="19"/>
              </w:rPr>
              <w:t>选择</w:t>
            </w:r>
          </w:p>
        </w:tc>
      </w:tr>
    </w:tbl>
    <w:p w14:paraId="748DDF9F"/>
    <w:p w14:paraId="16C3B2BA">
      <w:pPr>
        <w:ind w:firstLine="480"/>
      </w:pPr>
      <w:r>
        <w:rPr>
          <w:rFonts w:ascii="仿宋" w:hAnsi="仿宋" w:eastAsia="仿宋" w:cs="仿宋"/>
          <w:b w:val="0"/>
          <w:sz w:val="24"/>
        </w:rPr>
        <w:t>全套PDF不超过300页（含封面、目录及自评一览表），页数按PDF页计算；各章篇幅由响应人自行把控，第300页之后的页面不予评审。</w:t>
      </w:r>
    </w:p>
    <w:p w14:paraId="0783D083">
      <w:pPr>
        <w:pStyle w:val="4"/>
      </w:pPr>
      <w:r>
        <w:rPr>
          <w:rFonts w:ascii="黑体" w:hAnsi="黑体" w:eastAsia="黑体" w:cs="黑体"/>
          <w:b/>
        </w:rPr>
        <w:t>三、各章编写要点</w:t>
      </w:r>
    </w:p>
    <w:p w14:paraId="1630B474">
      <w:pPr>
        <w:pStyle w:val="5"/>
      </w:pPr>
      <w:r>
        <w:rPr>
          <w:rFonts w:ascii="黑体" w:hAnsi="黑体" w:eastAsia="黑体" w:cs="黑体"/>
          <w:b/>
        </w:rPr>
        <w:t>第一章　资格证明材料</w:t>
      </w:r>
    </w:p>
    <w:p w14:paraId="18CDF10F">
      <w:pPr>
        <w:ind w:firstLine="480"/>
      </w:pPr>
      <w:r>
        <w:rPr>
          <w:rFonts w:ascii="仿宋" w:hAnsi="仿宋" w:eastAsia="仿宋" w:cs="仿宋"/>
          <w:b w:val="0"/>
          <w:sz w:val="24"/>
        </w:rPr>
        <w:t>按以下顺序提供资格证明材料，每项单独起页。</w:t>
      </w:r>
    </w:p>
    <w:p w14:paraId="2AECBDFF">
      <w:pPr>
        <w:ind w:firstLine="480"/>
      </w:pPr>
      <w:r>
        <w:rPr>
          <w:rFonts w:ascii="黑体" w:hAnsi="黑体" w:eastAsia="黑体" w:cs="黑体"/>
          <w:b w:val="0"/>
          <w:sz w:val="24"/>
        </w:rPr>
        <w:t>本章各节为必须提供的材料。</w:t>
      </w:r>
    </w:p>
    <w:p w14:paraId="1A91BA36">
      <w:pPr>
        <w:pStyle w:val="5"/>
      </w:pPr>
      <w:r>
        <w:rPr>
          <w:rFonts w:ascii="黑体" w:hAnsi="黑体" w:eastAsia="黑体" w:cs="黑体"/>
          <w:b/>
        </w:rPr>
        <w:t>第二章　服务质量保障</w:t>
      </w:r>
    </w:p>
    <w:p w14:paraId="09C1FE73">
      <w:pPr>
        <w:ind w:firstLine="480"/>
      </w:pPr>
      <w:r>
        <w:rPr>
          <w:rFonts w:ascii="仿宋" w:hAnsi="仿宋" w:eastAsia="仿宋" w:cs="仿宋"/>
          <w:b w:val="0"/>
          <w:sz w:val="24"/>
        </w:rPr>
        <w:t>说明本机构对本项目的服务质量承诺，以及保证质量的管理措施。</w:t>
      </w:r>
    </w:p>
    <w:p w14:paraId="147ABE22">
      <w:pPr>
        <w:ind w:firstLine="480"/>
      </w:pPr>
      <w:r>
        <w:rPr>
          <w:rFonts w:ascii="黑体" w:hAnsi="黑体" w:eastAsia="黑体" w:cs="黑体"/>
          <w:b w:val="0"/>
          <w:sz w:val="24"/>
        </w:rPr>
        <w:t>本章各节为必须提供的材料。</w:t>
      </w:r>
    </w:p>
    <w:p w14:paraId="2D285E25">
      <w:pPr>
        <w:pStyle w:val="5"/>
      </w:pPr>
      <w:r>
        <w:rPr>
          <w:rFonts w:ascii="黑体" w:hAnsi="黑体" w:eastAsia="黑体" w:cs="黑体"/>
          <w:b/>
        </w:rPr>
        <w:t>第三章　廉洁管理</w:t>
      </w:r>
    </w:p>
    <w:p w14:paraId="283FFB0B">
      <w:pPr>
        <w:ind w:firstLine="480"/>
      </w:pPr>
      <w:r>
        <w:rPr>
          <w:rFonts w:ascii="仿宋" w:hAnsi="仿宋" w:eastAsia="仿宋" w:cs="仿宋"/>
          <w:b w:val="0"/>
          <w:sz w:val="24"/>
        </w:rPr>
        <w:t>提供廉洁承诺，并说明保证廉洁的具体措施。</w:t>
      </w:r>
    </w:p>
    <w:p w14:paraId="4D7378EC">
      <w:pPr>
        <w:ind w:firstLine="480"/>
      </w:pPr>
      <w:r>
        <w:rPr>
          <w:rFonts w:ascii="黑体" w:hAnsi="黑体" w:eastAsia="黑体" w:cs="黑体"/>
          <w:b w:val="0"/>
          <w:sz w:val="24"/>
        </w:rPr>
        <w:t>本章各节为必须提供的材料。</w:t>
      </w:r>
    </w:p>
    <w:p w14:paraId="220A08C1">
      <w:pPr>
        <w:pStyle w:val="5"/>
      </w:pPr>
      <w:r>
        <w:rPr>
          <w:rFonts w:ascii="黑体" w:hAnsi="黑体" w:eastAsia="黑体" w:cs="黑体"/>
          <w:b/>
        </w:rPr>
        <w:t>第四章　办公场所及开评标设施</w:t>
      </w:r>
    </w:p>
    <w:p w14:paraId="1CAC8C2F">
      <w:pPr>
        <w:ind w:firstLine="480"/>
      </w:pPr>
      <w:r>
        <w:rPr>
          <w:rFonts w:ascii="仿宋" w:hAnsi="仿宋" w:eastAsia="仿宋" w:cs="仿宋"/>
          <w:b w:val="0"/>
          <w:sz w:val="24"/>
        </w:rPr>
        <w:t>说明在昆明市的固定办公场所，以及开标、评标场地和配套设施情况，附权属证明和现场照片。开标室、评标室按独立房间计数，同一房间兼作开标、评标的只计一次；照片和说明须标明对应房间。</w:t>
      </w:r>
    </w:p>
    <w:p w14:paraId="3778458D">
      <w:pPr>
        <w:ind w:firstLine="480"/>
      </w:pPr>
      <w:r>
        <w:rPr>
          <w:rFonts w:ascii="黑体" w:hAnsi="黑体" w:eastAsia="黑体" w:cs="黑体"/>
          <w:b w:val="0"/>
          <w:sz w:val="24"/>
        </w:rPr>
        <w:t>本章各节为必须提供的材料。</w:t>
      </w:r>
    </w:p>
    <w:p w14:paraId="2A1E853B">
      <w:pPr>
        <w:pStyle w:val="5"/>
      </w:pPr>
      <w:r>
        <w:rPr>
          <w:rFonts w:ascii="黑体" w:hAnsi="黑体" w:eastAsia="黑体" w:cs="黑体"/>
          <w:b/>
        </w:rPr>
        <w:t>第五章　招标代理服务工作方案</w:t>
      </w:r>
    </w:p>
    <w:p w14:paraId="51E039C3">
      <w:pPr>
        <w:ind w:firstLine="480"/>
      </w:pPr>
      <w:r>
        <w:rPr>
          <w:rFonts w:ascii="仿宋" w:hAnsi="仿宋" w:eastAsia="仿宋" w:cs="仿宋"/>
          <w:b w:val="0"/>
          <w:sz w:val="24"/>
        </w:rPr>
        <w:t>针对本院医疗器械采购、医疗器械维修维保服务等货物类、服务类项目，按以下十个方面分节编写工作方案，每节单独起页。</w:t>
      </w:r>
    </w:p>
    <w:p w14:paraId="2871DFA6">
      <w:pPr>
        <w:ind w:firstLine="480"/>
      </w:pPr>
      <w:r>
        <w:rPr>
          <w:rFonts w:ascii="黑体" w:hAnsi="黑体" w:eastAsia="黑体" w:cs="黑体"/>
          <w:b w:val="0"/>
          <w:sz w:val="24"/>
        </w:rPr>
        <w:t>本章各节为必须提供的材料。</w:t>
      </w:r>
    </w:p>
    <w:p w14:paraId="2B09703D">
      <w:pPr>
        <w:ind w:firstLine="480"/>
      </w:pPr>
      <w:r>
        <w:rPr>
          <w:rFonts w:ascii="仿宋" w:hAnsi="仿宋" w:eastAsia="仿宋" w:cs="仿宋"/>
          <w:b w:val="0"/>
          <w:sz w:val="24"/>
        </w:rPr>
        <w:t>每节建议写清三件事：本机构的具体做法；在医疗器械采购或维修维保类项目中的做法或案例；对应的制度、流程或证明材料。</w:t>
      </w:r>
    </w:p>
    <w:p w14:paraId="0C8EFA7D">
      <w:pPr>
        <w:pStyle w:val="5"/>
      </w:pPr>
      <w:r>
        <w:rPr>
          <w:rFonts w:ascii="黑体" w:hAnsi="黑体" w:eastAsia="黑体" w:cs="黑体"/>
          <w:b/>
        </w:rPr>
        <w:t>第六章　档案管理</w:t>
      </w:r>
    </w:p>
    <w:p w14:paraId="4655E3A8">
      <w:pPr>
        <w:ind w:firstLine="480"/>
      </w:pPr>
      <w:r>
        <w:rPr>
          <w:rFonts w:ascii="仿宋" w:hAnsi="仿宋" w:eastAsia="仿宋" w:cs="仿宋"/>
          <w:b w:val="0"/>
          <w:sz w:val="24"/>
        </w:rPr>
        <w:t>说明本机构的档案管理制度、档案保管场所及设施、电子化档案管理情况，附制度文件、权属证明和照片。</w:t>
      </w:r>
    </w:p>
    <w:p w14:paraId="032B6FDC">
      <w:pPr>
        <w:ind w:firstLine="480"/>
      </w:pPr>
      <w:r>
        <w:rPr>
          <w:rFonts w:ascii="黑体" w:hAnsi="黑体" w:eastAsia="黑体" w:cs="黑体"/>
          <w:b w:val="0"/>
          <w:sz w:val="24"/>
        </w:rPr>
        <w:t>本章各节为必须提供的材料。</w:t>
      </w:r>
    </w:p>
    <w:p w14:paraId="60017BE5">
      <w:pPr>
        <w:pStyle w:val="5"/>
      </w:pPr>
      <w:r>
        <w:rPr>
          <w:rFonts w:ascii="黑体" w:hAnsi="黑体" w:eastAsia="黑体" w:cs="黑体"/>
          <w:b/>
        </w:rPr>
        <w:t>第七章　类似项目业绩</w:t>
      </w:r>
    </w:p>
    <w:p w14:paraId="4F596F98">
      <w:pPr>
        <w:ind w:firstLine="480"/>
      </w:pPr>
      <w:r>
        <w:rPr>
          <w:rFonts w:ascii="仿宋" w:hAnsi="仿宋" w:eastAsia="仿宋" w:cs="仿宋"/>
          <w:b w:val="0"/>
          <w:sz w:val="24"/>
        </w:rPr>
        <w:t>列明2023年1月1日至今完成的政府采购代理业绩，按完成时间由近及远排列，不超过20项。每项须附中国政府采购网或云南省政府采购网中标（成交）结果公告截图，或中标（成交）通知书；委托代理协议可作补充，但不能单独作为证明。复印件加盖公章。同一项目有多个标段的合并填一行。本章首页的自评一览表即业绩清单。</w:t>
      </w:r>
    </w:p>
    <w:p w14:paraId="36DAD373">
      <w:pPr>
        <w:ind w:firstLine="480"/>
      </w:pPr>
      <w:r>
        <w:rPr>
          <w:rFonts w:ascii="黑体" w:hAnsi="黑体" w:eastAsia="黑体" w:cs="黑体"/>
          <w:b w:val="0"/>
          <w:sz w:val="24"/>
        </w:rPr>
        <w:t>本章各节为必须提供的材料。</w:t>
      </w:r>
    </w:p>
    <w:p w14:paraId="3E7000AF">
      <w:pPr>
        <w:pStyle w:val="5"/>
      </w:pPr>
      <w:r>
        <w:rPr>
          <w:rFonts w:ascii="黑体" w:hAnsi="黑体" w:eastAsia="黑体" w:cs="黑体"/>
          <w:b/>
        </w:rPr>
        <w:t>第八章　项目团队</w:t>
      </w:r>
    </w:p>
    <w:p w14:paraId="7652E751">
      <w:pPr>
        <w:ind w:firstLine="480"/>
      </w:pPr>
      <w:r>
        <w:rPr>
          <w:rFonts w:ascii="仿宋" w:hAnsi="仿宋" w:eastAsia="仿宋" w:cs="仿宋"/>
          <w:b w:val="0"/>
          <w:sz w:val="24"/>
        </w:rPr>
        <w:t>列明拟派本项目的项目负责人1名及项目组成员（不少于3人），每人附身份证、职称证、资格证书、培训证明、劳动合同及本单位近期社保缴纳证明（复印件加盖公章）。本章首页的自评一览表即项目负责人情况及项目组成员情况表。</w:t>
      </w:r>
    </w:p>
    <w:p w14:paraId="777EB066">
      <w:pPr>
        <w:ind w:firstLine="480"/>
      </w:pPr>
      <w:r>
        <w:rPr>
          <w:rFonts w:ascii="黑体" w:hAnsi="黑体" w:eastAsia="黑体" w:cs="黑体"/>
          <w:b w:val="0"/>
          <w:sz w:val="24"/>
        </w:rPr>
        <w:t>本章各节为必须提供的材料。</w:t>
      </w:r>
    </w:p>
    <w:p w14:paraId="2287551B">
      <w:pPr>
        <w:ind w:firstLine="480"/>
      </w:pPr>
      <w:r>
        <w:rPr>
          <w:rFonts w:ascii="仿宋" w:hAnsi="仿宋" w:eastAsia="仿宋" w:cs="仿宋"/>
          <w:b w:val="0"/>
          <w:sz w:val="24"/>
        </w:rPr>
        <w:t>拟派往本项目的项目负责人1名，具有10年以上项目负责经验且具有高级技术职称；专业服务团队人员不少于3人，必须熟悉相关法律法规、熟悉招标采购流程。每名项目组成员（含项目负责人）须提供身份证、职称证或资格证书、培训证明、劳动合同及本机构为其缴纳的近期社保证明（复印件加盖公章）；注册类证书须注册在本机构。</w:t>
      </w:r>
    </w:p>
    <w:p w14:paraId="7632DC1B">
      <w:pPr>
        <w:pStyle w:val="5"/>
      </w:pPr>
      <w:r>
        <w:rPr>
          <w:rFonts w:ascii="黑体" w:hAnsi="黑体" w:eastAsia="黑体" w:cs="黑体"/>
          <w:b/>
        </w:rPr>
        <w:t>第九章　荣誉奖励及其他材料</w:t>
      </w:r>
    </w:p>
    <w:p w14:paraId="570524E6">
      <w:pPr>
        <w:ind w:firstLine="480"/>
      </w:pPr>
      <w:r>
        <w:rPr>
          <w:rFonts w:ascii="仿宋" w:hAnsi="仿宋" w:eastAsia="仿宋" w:cs="仿宋"/>
          <w:b w:val="0"/>
          <w:sz w:val="24"/>
        </w:rPr>
        <w:t>选择提供：相关证书、行业荣誉及奖励证明，以及本机构认为需要提交的其他材料。无则注明“无”。</w:t>
      </w:r>
    </w:p>
    <w:p w14:paraId="7E658ED0">
      <w:pPr>
        <w:pStyle w:val="4"/>
      </w:pPr>
      <w:r>
        <w:rPr>
          <w:rFonts w:ascii="黑体" w:hAnsi="黑体" w:eastAsia="黑体" w:cs="黑体"/>
          <w:b/>
        </w:rPr>
        <w:t>四、自评一览表填写要求</w:t>
      </w:r>
    </w:p>
    <w:p w14:paraId="51D7427A">
      <w:pPr>
        <w:ind w:firstLine="480"/>
      </w:pPr>
      <w:r>
        <w:rPr>
          <w:rFonts w:ascii="仿宋" w:hAnsi="仿宋" w:eastAsia="仿宋" w:cs="仿宋"/>
          <w:b w:val="0"/>
          <w:sz w:val="24"/>
        </w:rPr>
        <w:t>1. 使用附件2《自评一览表》Excel模板，不得增删工作表、行列或修改表头。表格已锁定，只能填写浅黄色格子。</w:t>
      </w:r>
    </w:p>
    <w:p w14:paraId="0502F5AE">
      <w:pPr>
        <w:ind w:firstLine="480"/>
      </w:pPr>
      <w:r>
        <w:rPr>
          <w:rFonts w:ascii="仿宋" w:hAnsi="仿宋" w:eastAsia="仿宋" w:cs="仿宋"/>
          <w:b w:val="0"/>
          <w:sz w:val="24"/>
        </w:rPr>
        <w:t>2. 先在“总览”工作表填写机构全称（须与营业执照逐字一致），再逐章填写；总览页的各章情况和页码会自动带出。</w:t>
      </w:r>
    </w:p>
    <w:p w14:paraId="3C261F33">
      <w:pPr>
        <w:ind w:firstLine="480"/>
      </w:pPr>
      <w:r>
        <w:rPr>
          <w:rFonts w:ascii="仿宋" w:hAnsi="仿宋" w:eastAsia="仿宋" w:cs="仿宋"/>
          <w:b w:val="0"/>
          <w:sz w:val="24"/>
        </w:rPr>
        <w:t>3. 一览表所填情况须能在本章证明材料中找到依据；页码一律填写PDF页码。</w:t>
      </w:r>
    </w:p>
    <w:p w14:paraId="31F47A2E">
      <w:pPr>
        <w:ind w:firstLine="480"/>
      </w:pPr>
      <w:r>
        <w:rPr>
          <w:rFonts w:ascii="仿宋" w:hAnsi="仿宋" w:eastAsia="仿宋" w:cs="仿宋"/>
          <w:b w:val="0"/>
          <w:sz w:val="24"/>
        </w:rPr>
        <w:t>4. 填写完成后，打印“总览”及各章工作表，加盖公章，分别放在全套材料最前面（总览）和对应章节首页（各章）。</w:t>
      </w:r>
    </w:p>
    <w:p w14:paraId="6F4203AC">
      <w:pPr>
        <w:ind w:firstLine="480"/>
      </w:pPr>
      <w:r>
        <w:rPr>
          <w:rFonts w:ascii="仿宋" w:hAnsi="仿宋" w:eastAsia="仿宋" w:cs="仿宋"/>
          <w:b w:val="0"/>
          <w:sz w:val="24"/>
        </w:rPr>
        <w:t>5. Excel原件（不要转为PDF）随电子版一并通过邮件发送。</w:t>
      </w:r>
    </w:p>
    <w:p w14:paraId="4B4E6C78">
      <w:pPr>
        <w:pStyle w:val="4"/>
      </w:pPr>
      <w:r>
        <w:rPr>
          <w:rFonts w:ascii="黑体" w:hAnsi="黑体" w:eastAsia="黑体" w:cs="黑体"/>
          <w:b/>
        </w:rPr>
        <w:t>五、纸质版要求</w:t>
      </w:r>
    </w:p>
    <w:p w14:paraId="6C2C364F">
      <w:pPr>
        <w:ind w:firstLine="480"/>
      </w:pPr>
      <w:r>
        <w:rPr>
          <w:rFonts w:ascii="仿宋" w:hAnsi="仿宋" w:eastAsia="仿宋" w:cs="仿宋"/>
          <w:b w:val="0"/>
          <w:sz w:val="24"/>
        </w:rPr>
        <w:t>1. 一套，A4幅面，按第二部分顺序装订成册。</w:t>
      </w:r>
    </w:p>
    <w:p w14:paraId="3BE7B9A1">
      <w:pPr>
        <w:ind w:firstLine="480"/>
      </w:pPr>
      <w:r>
        <w:rPr>
          <w:rFonts w:ascii="仿宋" w:hAnsi="仿宋" w:eastAsia="仿宋" w:cs="仿宋"/>
          <w:b w:val="0"/>
          <w:sz w:val="24"/>
        </w:rPr>
        <w:t>2. 从封面开始连续编页码，封面为第1页。</w:t>
      </w:r>
      <w:r>
        <w:rPr>
          <w:rFonts w:ascii="黑体" w:hAnsi="黑体" w:eastAsia="黑体" w:cs="黑体"/>
          <w:b w:val="0"/>
          <w:sz w:val="24"/>
        </w:rPr>
        <w:t>纸质版页码与PDF页码必须一致</w:t>
      </w:r>
      <w:r>
        <w:rPr>
          <w:rFonts w:ascii="仿宋" w:hAnsi="仿宋" w:eastAsia="仿宋" w:cs="仿宋"/>
          <w:b w:val="0"/>
          <w:sz w:val="24"/>
        </w:rPr>
        <w:t>（即PDF第N页就是纸质版第N页）。</w:t>
      </w:r>
    </w:p>
    <w:p w14:paraId="47150D15">
      <w:pPr>
        <w:ind w:firstLine="480"/>
      </w:pPr>
      <w:r>
        <w:rPr>
          <w:rFonts w:ascii="仿宋" w:hAnsi="仿宋" w:eastAsia="仿宋" w:cs="仿宋"/>
          <w:b w:val="0"/>
          <w:sz w:val="24"/>
        </w:rPr>
        <w:t>3. 加盖公司公章及骑缝章。</w:t>
      </w:r>
    </w:p>
    <w:p w14:paraId="151758C4">
      <w:pPr>
        <w:pStyle w:val="4"/>
      </w:pPr>
      <w:r>
        <w:rPr>
          <w:rFonts w:ascii="黑体" w:hAnsi="黑体" w:eastAsia="黑体" w:cs="黑体"/>
          <w:b/>
        </w:rPr>
        <w:t>六、电子版（电子邮件）要求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928"/>
        <w:gridCol w:w="2948"/>
        <w:gridCol w:w="3855"/>
      </w:tblGrid>
      <w:tr w14:paraId="622C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80" w:type="dxa"/>
            <w:shd w:val="clear" w:color="auto" w:fill="D9E2F3"/>
          </w:tcPr>
          <w:p w14:paraId="74A94986">
            <w:pPr>
              <w:spacing w:after="0" w:line="240" w:lineRule="auto"/>
              <w:jc w:val="center"/>
            </w:pPr>
            <w:r>
              <w:rPr>
                <w:rFonts w:ascii="黑体" w:hAnsi="黑体" w:eastAsia="黑体" w:cs="黑体"/>
                <w:b/>
                <w:sz w:val="20"/>
              </w:rPr>
              <w:t>序号</w:t>
            </w:r>
          </w:p>
        </w:tc>
        <w:tc>
          <w:tcPr>
            <w:tcW w:w="1928" w:type="dxa"/>
            <w:shd w:val="clear" w:color="auto" w:fill="D9E2F3"/>
          </w:tcPr>
          <w:p w14:paraId="79729555">
            <w:pPr>
              <w:spacing w:after="0" w:line="240" w:lineRule="auto"/>
              <w:jc w:val="center"/>
            </w:pPr>
            <w:r>
              <w:rPr>
                <w:rFonts w:ascii="黑体" w:hAnsi="黑体" w:eastAsia="黑体" w:cs="黑体"/>
                <w:b/>
                <w:sz w:val="20"/>
              </w:rPr>
              <w:t>文件</w:t>
            </w:r>
          </w:p>
        </w:tc>
        <w:tc>
          <w:tcPr>
            <w:tcW w:w="2948" w:type="dxa"/>
            <w:shd w:val="clear" w:color="auto" w:fill="D9E2F3"/>
          </w:tcPr>
          <w:p w14:paraId="52706EBA">
            <w:pPr>
              <w:spacing w:after="0" w:line="240" w:lineRule="auto"/>
              <w:jc w:val="center"/>
            </w:pPr>
            <w:r>
              <w:rPr>
                <w:rFonts w:ascii="黑体" w:hAnsi="黑体" w:eastAsia="黑体" w:cs="黑体"/>
                <w:b/>
                <w:sz w:val="20"/>
              </w:rPr>
              <w:t>文件名</w:t>
            </w:r>
          </w:p>
        </w:tc>
        <w:tc>
          <w:tcPr>
            <w:tcW w:w="3855" w:type="dxa"/>
            <w:shd w:val="clear" w:color="auto" w:fill="D9E2F3"/>
          </w:tcPr>
          <w:p w14:paraId="41683B11">
            <w:pPr>
              <w:spacing w:after="0" w:line="240" w:lineRule="auto"/>
              <w:jc w:val="center"/>
            </w:pPr>
            <w:r>
              <w:rPr>
                <w:rFonts w:ascii="黑体" w:hAnsi="黑体" w:eastAsia="黑体" w:cs="黑体"/>
                <w:b/>
                <w:sz w:val="20"/>
              </w:rPr>
              <w:t>要求</w:t>
            </w:r>
          </w:p>
        </w:tc>
      </w:tr>
      <w:tr w14:paraId="7674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727192DB">
            <w:pPr>
              <w:spacing w:after="0" w:line="240" w:lineRule="auto"/>
              <w:jc w:val="center"/>
            </w:pPr>
            <w:r>
              <w:rPr>
                <w:rFonts w:ascii="仿宋" w:hAnsi="仿宋" w:eastAsia="仿宋" w:cs="仿宋"/>
                <w:sz w:val="20"/>
              </w:rPr>
              <w:t>1</w:t>
            </w:r>
          </w:p>
        </w:tc>
        <w:tc>
          <w:tcPr>
            <w:tcW w:w="1928" w:type="dxa"/>
          </w:tcPr>
          <w:p w14:paraId="79450073">
            <w:pPr>
              <w:spacing w:after="0" w:line="240" w:lineRule="auto"/>
            </w:pPr>
            <w:r>
              <w:rPr>
                <w:rFonts w:ascii="仿宋" w:hAnsi="仿宋" w:eastAsia="仿宋" w:cs="仿宋"/>
                <w:sz w:val="20"/>
              </w:rPr>
              <w:t>全套响应材料PDF</w:t>
            </w:r>
          </w:p>
        </w:tc>
        <w:tc>
          <w:tcPr>
            <w:tcW w:w="2948" w:type="dxa"/>
          </w:tcPr>
          <w:p w14:paraId="52772B9C">
            <w:pPr>
              <w:spacing w:after="0" w:line="240" w:lineRule="auto"/>
            </w:pPr>
            <w:r>
              <w:rPr>
                <w:rFonts w:ascii="仿宋" w:hAnsi="仿宋" w:eastAsia="仿宋" w:cs="仿宋"/>
                <w:sz w:val="20"/>
              </w:rPr>
              <w:t>01_响应材料_机构全称.pdf</w:t>
            </w:r>
          </w:p>
        </w:tc>
        <w:tc>
          <w:tcPr>
            <w:tcW w:w="3855" w:type="dxa"/>
          </w:tcPr>
          <w:p w14:paraId="2DF83110">
            <w:pPr>
              <w:spacing w:after="0" w:line="240" w:lineRule="auto"/>
            </w:pPr>
            <w:r>
              <w:rPr>
                <w:rFonts w:ascii="仿宋" w:hAnsi="仿宋" w:eastAsia="仿宋" w:cs="仿宋"/>
                <w:sz w:val="20"/>
              </w:rPr>
              <w:t>单个PDF文件；与纸质版内容、页码完全一致；设置章、节两级书签</w:t>
            </w:r>
          </w:p>
        </w:tc>
      </w:tr>
      <w:tr w14:paraId="2419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4F1FDAC3">
            <w:pPr>
              <w:spacing w:after="0" w:line="240" w:lineRule="auto"/>
              <w:jc w:val="center"/>
            </w:pPr>
            <w:r>
              <w:rPr>
                <w:rFonts w:ascii="仿宋" w:hAnsi="仿宋" w:eastAsia="仿宋" w:cs="仿宋"/>
                <w:sz w:val="20"/>
              </w:rPr>
              <w:t>2</w:t>
            </w:r>
          </w:p>
        </w:tc>
        <w:tc>
          <w:tcPr>
            <w:tcW w:w="1928" w:type="dxa"/>
          </w:tcPr>
          <w:p w14:paraId="4C3B5F2B">
            <w:pPr>
              <w:spacing w:after="0" w:line="240" w:lineRule="auto"/>
            </w:pPr>
            <w:r>
              <w:rPr>
                <w:rFonts w:ascii="仿宋" w:hAnsi="仿宋" w:eastAsia="仿宋" w:cs="仿宋"/>
                <w:sz w:val="20"/>
              </w:rPr>
              <w:t>自评一览表</w:t>
            </w:r>
          </w:p>
        </w:tc>
        <w:tc>
          <w:tcPr>
            <w:tcW w:w="2948" w:type="dxa"/>
          </w:tcPr>
          <w:p w14:paraId="3140D6AD">
            <w:pPr>
              <w:spacing w:after="0" w:line="240" w:lineRule="auto"/>
            </w:pPr>
            <w:r>
              <w:rPr>
                <w:rFonts w:ascii="仿宋" w:hAnsi="仿宋" w:eastAsia="仿宋" w:cs="仿宋"/>
                <w:sz w:val="20"/>
              </w:rPr>
              <w:t>02_自评一览表_机构全称.xlsx</w:t>
            </w:r>
          </w:p>
        </w:tc>
        <w:tc>
          <w:tcPr>
            <w:tcW w:w="3855" w:type="dxa"/>
          </w:tcPr>
          <w:p w14:paraId="456F7CF3">
            <w:pPr>
              <w:spacing w:after="0" w:line="240" w:lineRule="auto"/>
            </w:pPr>
            <w:r>
              <w:rPr>
                <w:rFonts w:ascii="仿宋" w:hAnsi="仿宋" w:eastAsia="仿宋" w:cs="仿宋"/>
                <w:sz w:val="20"/>
              </w:rPr>
              <w:t>附件2 Excel原件，与PDF中的一览表一致</w:t>
            </w:r>
          </w:p>
        </w:tc>
      </w:tr>
      <w:tr w14:paraId="4A350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2A340939">
            <w:pPr>
              <w:spacing w:after="0" w:line="240" w:lineRule="auto"/>
              <w:jc w:val="center"/>
            </w:pPr>
            <w:r>
              <w:rPr>
                <w:rFonts w:ascii="仿宋" w:hAnsi="仿宋" w:eastAsia="仿宋" w:cs="仿宋"/>
                <w:sz w:val="20"/>
              </w:rPr>
              <w:t>3</w:t>
            </w:r>
          </w:p>
        </w:tc>
        <w:tc>
          <w:tcPr>
            <w:tcW w:w="1928" w:type="dxa"/>
          </w:tcPr>
          <w:p w14:paraId="1BC7174E">
            <w:pPr>
              <w:spacing w:after="0" w:line="240" w:lineRule="auto"/>
            </w:pPr>
            <w:r>
              <w:rPr>
                <w:rFonts w:ascii="仿宋" w:hAnsi="仿宋" w:eastAsia="仿宋" w:cs="仿宋"/>
                <w:sz w:val="20"/>
              </w:rPr>
              <w:t>述标PPT</w:t>
            </w:r>
          </w:p>
        </w:tc>
        <w:tc>
          <w:tcPr>
            <w:tcW w:w="2948" w:type="dxa"/>
          </w:tcPr>
          <w:p w14:paraId="1A8715E9">
            <w:pPr>
              <w:spacing w:after="0" w:line="240" w:lineRule="auto"/>
            </w:pPr>
            <w:r>
              <w:rPr>
                <w:rFonts w:ascii="仿宋" w:hAnsi="仿宋" w:eastAsia="仿宋" w:cs="仿宋"/>
                <w:sz w:val="20"/>
              </w:rPr>
              <w:t>03_述标PPT_机构全称.pptx</w:t>
            </w:r>
          </w:p>
        </w:tc>
        <w:tc>
          <w:tcPr>
            <w:tcW w:w="3855" w:type="dxa"/>
          </w:tcPr>
          <w:p w14:paraId="29787AF5">
            <w:pPr>
              <w:spacing w:after="0" w:line="240" w:lineRule="auto"/>
            </w:pPr>
            <w:r>
              <w:rPr>
                <w:rFonts w:ascii="仿宋" w:hAnsi="仿宋" w:eastAsia="仿宋" w:cs="仿宋"/>
                <w:sz w:val="20"/>
              </w:rPr>
              <w:t>按第七部分要求制作</w:t>
            </w:r>
          </w:p>
        </w:tc>
      </w:tr>
      <w:tr w14:paraId="6F83C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54A2E1FC">
            <w:pPr>
              <w:spacing w:after="0" w:line="240" w:lineRule="auto"/>
              <w:jc w:val="center"/>
            </w:pPr>
            <w:r>
              <w:rPr>
                <w:rFonts w:ascii="仿宋" w:hAnsi="仿宋" w:eastAsia="仿宋" w:cs="仿宋"/>
                <w:sz w:val="20"/>
              </w:rPr>
              <w:t>4</w:t>
            </w:r>
          </w:p>
        </w:tc>
        <w:tc>
          <w:tcPr>
            <w:tcW w:w="1928" w:type="dxa"/>
          </w:tcPr>
          <w:p w14:paraId="46A876F0">
            <w:pPr>
              <w:spacing w:after="0" w:line="240" w:lineRule="auto"/>
            </w:pPr>
            <w:r>
              <w:rPr>
                <w:rFonts w:ascii="仿宋" w:hAnsi="仿宋" w:eastAsia="仿宋" w:cs="仿宋"/>
                <w:sz w:val="20"/>
              </w:rPr>
              <w:t>述标PPT（PDF版）</w:t>
            </w:r>
          </w:p>
        </w:tc>
        <w:tc>
          <w:tcPr>
            <w:tcW w:w="2948" w:type="dxa"/>
          </w:tcPr>
          <w:p w14:paraId="6C90C737">
            <w:pPr>
              <w:spacing w:after="0" w:line="240" w:lineRule="auto"/>
            </w:pPr>
            <w:r>
              <w:rPr>
                <w:rFonts w:ascii="仿宋" w:hAnsi="仿宋" w:eastAsia="仿宋" w:cs="仿宋"/>
                <w:sz w:val="20"/>
              </w:rPr>
              <w:t>04_述标PPT_机构全称.pdf</w:t>
            </w:r>
          </w:p>
        </w:tc>
        <w:tc>
          <w:tcPr>
            <w:tcW w:w="3855" w:type="dxa"/>
          </w:tcPr>
          <w:p w14:paraId="2C358D5C">
            <w:pPr>
              <w:spacing w:after="0" w:line="240" w:lineRule="auto"/>
            </w:pPr>
            <w:r>
              <w:rPr>
                <w:rFonts w:ascii="仿宋" w:hAnsi="仿宋" w:eastAsia="仿宋" w:cs="仿宋"/>
                <w:sz w:val="20"/>
              </w:rPr>
              <w:t>由上述PPT导出，内容一致</w:t>
            </w:r>
          </w:p>
        </w:tc>
      </w:tr>
    </w:tbl>
    <w:p w14:paraId="05096179"/>
    <w:p w14:paraId="244821A0">
      <w:pPr>
        <w:ind w:firstLine="480"/>
      </w:pPr>
      <w:r>
        <w:rPr>
          <w:rFonts w:ascii="仿宋" w:hAnsi="仿宋" w:eastAsia="仿宋" w:cs="仿宋"/>
          <w:b w:val="0"/>
          <w:sz w:val="24"/>
        </w:rPr>
        <w:t xml:space="preserve">1. </w:t>
      </w:r>
      <w:r>
        <w:rPr>
          <w:rFonts w:ascii="黑体" w:hAnsi="黑体" w:eastAsia="黑体" w:cs="黑体"/>
          <w:b w:val="0"/>
          <w:sz w:val="24"/>
        </w:rPr>
        <w:t>书签</w:t>
      </w:r>
      <w:r>
        <w:rPr>
          <w:rFonts w:ascii="仿宋" w:hAnsi="仿宋" w:eastAsia="仿宋" w:cs="仿宋"/>
          <w:b w:val="0"/>
          <w:sz w:val="24"/>
        </w:rPr>
        <w:t>：一级书签为“总览”及各章标题（如“第五章 招标代理服务工作方案”），二级书签为各节标题（如“5.3 采购需求管理”），名称与附件1-1模板一致。用附件1-1模板编写、导出PDF时勾选“创建书签（使用标题）”，即可自动生成；证明材料扫描页合并进PDF后，请核对书签仍指向正确页面。</w:t>
      </w:r>
    </w:p>
    <w:p w14:paraId="63D32E9A">
      <w:pPr>
        <w:ind w:firstLine="480"/>
      </w:pPr>
      <w:r>
        <w:rPr>
          <w:rFonts w:ascii="仿宋" w:hAnsi="仿宋" w:eastAsia="仿宋" w:cs="仿宋"/>
          <w:b w:val="0"/>
          <w:sz w:val="24"/>
        </w:rPr>
        <w:t xml:space="preserve">2. </w:t>
      </w:r>
      <w:r>
        <w:rPr>
          <w:rFonts w:ascii="黑体" w:hAnsi="黑体" w:eastAsia="黑体" w:cs="黑体"/>
          <w:b w:val="0"/>
          <w:sz w:val="24"/>
        </w:rPr>
        <w:t>清晰可读</w:t>
      </w:r>
      <w:r>
        <w:rPr>
          <w:rFonts w:ascii="仿宋" w:hAnsi="仿宋" w:eastAsia="仿宋" w:cs="仿宋"/>
          <w:b w:val="0"/>
          <w:sz w:val="24"/>
        </w:rPr>
        <w:t>：方案类章节建议由Word直接导出PDF（文字可检索）；证明材料扫描分辨率不低于200dpi，彩色扫描，页面端正、不缺角。</w:t>
      </w:r>
    </w:p>
    <w:p w14:paraId="4AE4929C">
      <w:pPr>
        <w:ind w:firstLine="480"/>
      </w:pPr>
      <w:r>
        <w:rPr>
          <w:rFonts w:ascii="仿宋" w:hAnsi="仿宋" w:eastAsia="仿宋" w:cs="仿宋"/>
          <w:b w:val="0"/>
          <w:sz w:val="24"/>
        </w:rPr>
        <w:t xml:space="preserve">3. </w:t>
      </w:r>
      <w:r>
        <w:rPr>
          <w:rFonts w:ascii="黑体" w:hAnsi="黑体" w:eastAsia="黑体" w:cs="黑体"/>
          <w:b w:val="0"/>
          <w:sz w:val="24"/>
        </w:rPr>
        <w:t>不得加密</w:t>
      </w:r>
      <w:r>
        <w:rPr>
          <w:rFonts w:ascii="仿宋" w:hAnsi="仿宋" w:eastAsia="仿宋" w:cs="仿宋"/>
          <w:b w:val="0"/>
          <w:sz w:val="24"/>
        </w:rPr>
        <w:t>：PDF不得设置打开密码，不得禁止复制、打印。</w:t>
      </w:r>
    </w:p>
    <w:p w14:paraId="21750487">
      <w:pPr>
        <w:ind w:firstLine="480"/>
      </w:pPr>
      <w:r>
        <w:rPr>
          <w:rFonts w:ascii="仿宋" w:hAnsi="仿宋" w:eastAsia="仿宋" w:cs="仿宋"/>
          <w:b w:val="0"/>
          <w:sz w:val="24"/>
        </w:rPr>
        <w:t xml:space="preserve">4. </w:t>
      </w:r>
      <w:r>
        <w:rPr>
          <w:rFonts w:ascii="黑体" w:hAnsi="黑体" w:eastAsia="黑体" w:cs="黑体"/>
          <w:b w:val="0"/>
          <w:sz w:val="24"/>
        </w:rPr>
        <w:t>发送方式</w:t>
      </w:r>
      <w:r>
        <w:rPr>
          <w:rFonts w:ascii="仿宋" w:hAnsi="仿宋" w:eastAsia="仿宋" w:cs="仿宋"/>
          <w:b w:val="0"/>
          <w:sz w:val="24"/>
        </w:rPr>
        <w:t>：发送至本院比选专用邮箱（____________@____________），邮件主题“招标代理比选响应材料_机构全称”。附件较大的，使用邮箱“超大附件”功能发送，下载有效期不少于15天；单个PDF文件建议不超过200MB。邮件只发送本项目文件。</w:t>
      </w:r>
    </w:p>
    <w:p w14:paraId="3B3317B2">
      <w:pPr>
        <w:ind w:firstLine="480"/>
      </w:pPr>
      <w:r>
        <w:rPr>
          <w:rFonts w:ascii="仿宋" w:hAnsi="仿宋" w:eastAsia="仿宋" w:cs="仿宋"/>
          <w:b w:val="0"/>
          <w:sz w:val="24"/>
        </w:rPr>
        <w:t>5. PDF应为盖章后纸质版的扫描件，或加盖电子签章的版本，与纸质版内容、页码完全一致。</w:t>
      </w:r>
    </w:p>
    <w:p w14:paraId="2B9533E3">
      <w:pPr>
        <w:pStyle w:val="4"/>
      </w:pPr>
      <w:r>
        <w:rPr>
          <w:rFonts w:ascii="黑体" w:hAnsi="黑体" w:eastAsia="黑体" w:cs="黑体"/>
          <w:b/>
        </w:rPr>
        <w:t>七、述标PPT要求</w:t>
      </w:r>
    </w:p>
    <w:p w14:paraId="56ED4F0E">
      <w:pPr>
        <w:ind w:firstLine="480"/>
      </w:pPr>
      <w:r>
        <w:rPr>
          <w:rFonts w:ascii="仿宋" w:hAnsi="仿宋" w:eastAsia="仿宋" w:cs="仿宋"/>
          <w:b w:val="0"/>
          <w:sz w:val="24"/>
        </w:rPr>
        <w:t>1. 述标时间不超过10分钟，到时即止；随后由专家组答询。</w:t>
      </w:r>
    </w:p>
    <w:p w14:paraId="41B4374C">
      <w:pPr>
        <w:ind w:firstLine="480"/>
      </w:pPr>
      <w:r>
        <w:rPr>
          <w:rFonts w:ascii="仿宋" w:hAnsi="仿宋" w:eastAsia="仿宋" w:cs="仿宋"/>
          <w:b w:val="0"/>
          <w:sz w:val="24"/>
        </w:rPr>
        <w:t>2. PPT随电子版响应材料在截止前一并发送。</w:t>
      </w:r>
      <w:r>
        <w:rPr>
          <w:rFonts w:ascii="黑体" w:hAnsi="黑体" w:eastAsia="黑体" w:cs="黑体"/>
          <w:b w:val="0"/>
          <w:sz w:val="24"/>
        </w:rPr>
        <w:t>述标时使用响应人自带的电脑播放，医院不提供电脑</w:t>
      </w:r>
      <w:r>
        <w:rPr>
          <w:rFonts w:ascii="仿宋" w:hAnsi="仿宋" w:eastAsia="仿宋" w:cs="仿宋"/>
          <w:b w:val="0"/>
          <w:sz w:val="24"/>
        </w:rPr>
        <w:t>，请自备所需的转接线；现场播放的PPT应与截止前发送的版本一致。</w:t>
      </w:r>
    </w:p>
    <w:p w14:paraId="2CDBEB6B">
      <w:pPr>
        <w:ind w:firstLine="480"/>
      </w:pPr>
      <w:r>
        <w:rPr>
          <w:rFonts w:ascii="仿宋" w:hAnsi="仿宋" w:eastAsia="仿宋" w:cs="仿宋"/>
          <w:b w:val="0"/>
          <w:sz w:val="24"/>
        </w:rPr>
        <w:t>3. 使用附件3《述标PPT模板》，16:9宽屏，正文页不超过20页。</w:t>
      </w:r>
    </w:p>
    <w:p w14:paraId="69CCEA1D">
      <w:pPr>
        <w:ind w:firstLine="480"/>
      </w:pPr>
      <w:r>
        <w:rPr>
          <w:rFonts w:ascii="仿宋" w:hAnsi="仿宋" w:eastAsia="仿宋" w:cs="仿宋"/>
          <w:b w:val="0"/>
          <w:sz w:val="24"/>
        </w:rPr>
        <w:t xml:space="preserve">4. </w:t>
      </w:r>
      <w:r>
        <w:rPr>
          <w:rFonts w:ascii="黑体" w:hAnsi="黑体" w:eastAsia="黑体" w:cs="黑体"/>
          <w:b w:val="0"/>
          <w:sz w:val="24"/>
        </w:rPr>
        <w:t>严格按以下顺序述标</w:t>
      </w:r>
      <w:r>
        <w:rPr>
          <w:rFonts w:ascii="仿宋" w:hAnsi="仿宋" w:eastAsia="仿宋" w:cs="仿宋"/>
          <w:b w:val="0"/>
          <w:sz w:val="24"/>
        </w:rPr>
        <w:t>，每部分标题与响应材料章节一致，每页右上角标注对应章节号（如“5.3”），页脚注明对应响应材料页码：</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3742"/>
        <w:gridCol w:w="4876"/>
      </w:tblGrid>
      <w:tr w14:paraId="5B24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94" w:type="dxa"/>
            <w:shd w:val="clear" w:color="auto" w:fill="D9E2F3"/>
          </w:tcPr>
          <w:p w14:paraId="5BECC496">
            <w:pPr>
              <w:spacing w:after="0" w:line="240" w:lineRule="auto"/>
              <w:jc w:val="center"/>
            </w:pPr>
            <w:r>
              <w:rPr>
                <w:rFonts w:ascii="黑体" w:hAnsi="黑体" w:eastAsia="黑体" w:cs="黑体"/>
                <w:b/>
                <w:sz w:val="20"/>
              </w:rPr>
              <w:t>顺序</w:t>
            </w:r>
          </w:p>
        </w:tc>
        <w:tc>
          <w:tcPr>
            <w:tcW w:w="3742" w:type="dxa"/>
            <w:shd w:val="clear" w:color="auto" w:fill="D9E2F3"/>
          </w:tcPr>
          <w:p w14:paraId="6F8C1206">
            <w:pPr>
              <w:spacing w:after="0" w:line="240" w:lineRule="auto"/>
              <w:jc w:val="center"/>
            </w:pPr>
            <w:r>
              <w:rPr>
                <w:rFonts w:ascii="黑体" w:hAnsi="黑体" w:eastAsia="黑体" w:cs="黑体"/>
                <w:b/>
                <w:sz w:val="20"/>
              </w:rPr>
              <w:t>部分</w:t>
            </w:r>
          </w:p>
        </w:tc>
        <w:tc>
          <w:tcPr>
            <w:tcW w:w="4876" w:type="dxa"/>
            <w:shd w:val="clear" w:color="auto" w:fill="D9E2F3"/>
          </w:tcPr>
          <w:p w14:paraId="27D0D518">
            <w:pPr>
              <w:spacing w:after="0" w:line="240" w:lineRule="auto"/>
              <w:jc w:val="center"/>
            </w:pPr>
            <w:r>
              <w:rPr>
                <w:rFonts w:ascii="黑体" w:hAnsi="黑体" w:eastAsia="黑体" w:cs="黑体"/>
                <w:b/>
                <w:sz w:val="20"/>
              </w:rPr>
              <w:t>说明</w:t>
            </w:r>
          </w:p>
        </w:tc>
      </w:tr>
      <w:tr w14:paraId="37008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73DD07E4">
            <w:pPr>
              <w:spacing w:after="0" w:line="240" w:lineRule="auto"/>
              <w:jc w:val="center"/>
            </w:pPr>
            <w:r>
              <w:rPr>
                <w:rFonts w:ascii="仿宋" w:hAnsi="仿宋" w:eastAsia="仿宋" w:cs="仿宋"/>
                <w:sz w:val="20"/>
              </w:rPr>
              <w:t>1</w:t>
            </w:r>
          </w:p>
        </w:tc>
        <w:tc>
          <w:tcPr>
            <w:tcW w:w="3742" w:type="dxa"/>
          </w:tcPr>
          <w:p w14:paraId="7BF5BB60">
            <w:pPr>
              <w:spacing w:after="0" w:line="240" w:lineRule="auto"/>
            </w:pPr>
            <w:r>
              <w:rPr>
                <w:rFonts w:ascii="仿宋" w:hAnsi="仿宋" w:eastAsia="仿宋" w:cs="仿宋"/>
                <w:sz w:val="20"/>
              </w:rPr>
              <w:t>封面</w:t>
            </w:r>
          </w:p>
        </w:tc>
        <w:tc>
          <w:tcPr>
            <w:tcW w:w="4876" w:type="dxa"/>
          </w:tcPr>
          <w:p w14:paraId="2C595B64">
            <w:pPr>
              <w:spacing w:after="0" w:line="240" w:lineRule="auto"/>
            </w:pPr>
            <w:r>
              <w:rPr>
                <w:rFonts w:ascii="仿宋" w:hAnsi="仿宋" w:eastAsia="仿宋" w:cs="仿宋"/>
                <w:sz w:val="20"/>
              </w:rPr>
              <w:t>机构全称、述标人、拟派项目负责人</w:t>
            </w:r>
          </w:p>
        </w:tc>
      </w:tr>
      <w:tr w14:paraId="32C8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5B96CC60">
            <w:pPr>
              <w:spacing w:after="0" w:line="240" w:lineRule="auto"/>
              <w:jc w:val="center"/>
            </w:pPr>
            <w:r>
              <w:rPr>
                <w:rFonts w:ascii="仿宋" w:hAnsi="仿宋" w:eastAsia="仿宋" w:cs="仿宋"/>
                <w:sz w:val="20"/>
              </w:rPr>
              <w:t>2</w:t>
            </w:r>
          </w:p>
        </w:tc>
        <w:tc>
          <w:tcPr>
            <w:tcW w:w="3742" w:type="dxa"/>
          </w:tcPr>
          <w:p w14:paraId="1B87E036">
            <w:pPr>
              <w:spacing w:after="0" w:line="240" w:lineRule="auto"/>
            </w:pPr>
            <w:r>
              <w:rPr>
                <w:rFonts w:ascii="仿宋" w:hAnsi="仿宋" w:eastAsia="仿宋" w:cs="仿宋"/>
                <w:sz w:val="20"/>
              </w:rPr>
              <w:t>第二章 服务质量保障</w:t>
            </w:r>
          </w:p>
        </w:tc>
        <w:tc>
          <w:tcPr>
            <w:tcW w:w="4876" w:type="dxa"/>
          </w:tcPr>
          <w:p w14:paraId="5A95878E">
            <w:pPr>
              <w:spacing w:after="0" w:line="240" w:lineRule="auto"/>
            </w:pPr>
            <w:r>
              <w:rPr>
                <w:rFonts w:ascii="仿宋" w:hAnsi="仿宋" w:eastAsia="仿宋" w:cs="仿宋"/>
                <w:sz w:val="20"/>
              </w:rPr>
              <w:t>讲本章要点，与一览表一致</w:t>
            </w:r>
          </w:p>
        </w:tc>
      </w:tr>
      <w:tr w14:paraId="6B50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0857B433">
            <w:pPr>
              <w:spacing w:after="0" w:line="240" w:lineRule="auto"/>
              <w:jc w:val="center"/>
            </w:pPr>
            <w:r>
              <w:rPr>
                <w:rFonts w:ascii="仿宋" w:hAnsi="仿宋" w:eastAsia="仿宋" w:cs="仿宋"/>
                <w:sz w:val="20"/>
              </w:rPr>
              <w:t>3</w:t>
            </w:r>
          </w:p>
        </w:tc>
        <w:tc>
          <w:tcPr>
            <w:tcW w:w="3742" w:type="dxa"/>
          </w:tcPr>
          <w:p w14:paraId="64870624">
            <w:pPr>
              <w:spacing w:after="0" w:line="240" w:lineRule="auto"/>
            </w:pPr>
            <w:r>
              <w:rPr>
                <w:rFonts w:ascii="仿宋" w:hAnsi="仿宋" w:eastAsia="仿宋" w:cs="仿宋"/>
                <w:sz w:val="20"/>
              </w:rPr>
              <w:t>第三章 廉洁管理</w:t>
            </w:r>
          </w:p>
        </w:tc>
        <w:tc>
          <w:tcPr>
            <w:tcW w:w="4876" w:type="dxa"/>
          </w:tcPr>
          <w:p w14:paraId="7AFBEC34">
            <w:pPr>
              <w:spacing w:after="0" w:line="240" w:lineRule="auto"/>
            </w:pPr>
            <w:r>
              <w:rPr>
                <w:rFonts w:ascii="仿宋" w:hAnsi="仿宋" w:eastAsia="仿宋" w:cs="仿宋"/>
                <w:sz w:val="20"/>
              </w:rPr>
              <w:t>讲本章要点，与一览表一致</w:t>
            </w:r>
          </w:p>
        </w:tc>
      </w:tr>
      <w:tr w14:paraId="4FEC8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6FA83A82">
            <w:pPr>
              <w:spacing w:after="0" w:line="240" w:lineRule="auto"/>
              <w:jc w:val="center"/>
            </w:pPr>
            <w:r>
              <w:rPr>
                <w:rFonts w:ascii="仿宋" w:hAnsi="仿宋" w:eastAsia="仿宋" w:cs="仿宋"/>
                <w:sz w:val="20"/>
              </w:rPr>
              <w:t>4</w:t>
            </w:r>
          </w:p>
        </w:tc>
        <w:tc>
          <w:tcPr>
            <w:tcW w:w="3742" w:type="dxa"/>
          </w:tcPr>
          <w:p w14:paraId="01F3E015">
            <w:pPr>
              <w:spacing w:after="0" w:line="240" w:lineRule="auto"/>
            </w:pPr>
            <w:r>
              <w:rPr>
                <w:rFonts w:ascii="仿宋" w:hAnsi="仿宋" w:eastAsia="仿宋" w:cs="仿宋"/>
                <w:sz w:val="20"/>
              </w:rPr>
              <w:t>第四章 办公场所及开评标设施</w:t>
            </w:r>
          </w:p>
        </w:tc>
        <w:tc>
          <w:tcPr>
            <w:tcW w:w="4876" w:type="dxa"/>
          </w:tcPr>
          <w:p w14:paraId="7E794A1C">
            <w:pPr>
              <w:spacing w:after="0" w:line="240" w:lineRule="auto"/>
            </w:pPr>
            <w:r>
              <w:rPr>
                <w:rFonts w:ascii="仿宋" w:hAnsi="仿宋" w:eastAsia="仿宋" w:cs="仿宋"/>
                <w:sz w:val="20"/>
              </w:rPr>
              <w:t>讲本章要点，与一览表一致</w:t>
            </w:r>
          </w:p>
        </w:tc>
      </w:tr>
      <w:tr w14:paraId="73627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20D659DD">
            <w:pPr>
              <w:spacing w:after="0" w:line="240" w:lineRule="auto"/>
              <w:jc w:val="center"/>
            </w:pPr>
            <w:r>
              <w:rPr>
                <w:rFonts w:ascii="仿宋" w:hAnsi="仿宋" w:eastAsia="仿宋" w:cs="仿宋"/>
                <w:sz w:val="20"/>
              </w:rPr>
              <w:t>5</w:t>
            </w:r>
          </w:p>
        </w:tc>
        <w:tc>
          <w:tcPr>
            <w:tcW w:w="3742" w:type="dxa"/>
          </w:tcPr>
          <w:p w14:paraId="0FA6D035">
            <w:pPr>
              <w:spacing w:after="0" w:line="240" w:lineRule="auto"/>
            </w:pPr>
            <w:r>
              <w:rPr>
                <w:rFonts w:ascii="仿宋" w:hAnsi="仿宋" w:eastAsia="仿宋" w:cs="仿宋"/>
                <w:sz w:val="20"/>
              </w:rPr>
              <w:t>第五章 招标代理服务工作方案</w:t>
            </w:r>
          </w:p>
        </w:tc>
        <w:tc>
          <w:tcPr>
            <w:tcW w:w="4876" w:type="dxa"/>
          </w:tcPr>
          <w:p w14:paraId="2071796E">
            <w:pPr>
              <w:spacing w:after="0" w:line="240" w:lineRule="auto"/>
            </w:pPr>
            <w:r>
              <w:rPr>
                <w:rFonts w:ascii="仿宋" w:hAnsi="仿宋" w:eastAsia="仿宋" w:cs="仿宋"/>
                <w:sz w:val="20"/>
              </w:rPr>
              <w:t>按5.1至5.10顺序逐节讲述（5.9为本PPT本身，可略）</w:t>
            </w:r>
          </w:p>
        </w:tc>
      </w:tr>
      <w:tr w14:paraId="018F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7DD89AE0">
            <w:pPr>
              <w:spacing w:after="0" w:line="240" w:lineRule="auto"/>
              <w:jc w:val="center"/>
            </w:pPr>
            <w:r>
              <w:rPr>
                <w:rFonts w:ascii="仿宋" w:hAnsi="仿宋" w:eastAsia="仿宋" w:cs="仿宋"/>
                <w:sz w:val="20"/>
              </w:rPr>
              <w:t>6</w:t>
            </w:r>
          </w:p>
        </w:tc>
        <w:tc>
          <w:tcPr>
            <w:tcW w:w="3742" w:type="dxa"/>
          </w:tcPr>
          <w:p w14:paraId="5CC8B559">
            <w:pPr>
              <w:spacing w:after="0" w:line="240" w:lineRule="auto"/>
            </w:pPr>
            <w:r>
              <w:rPr>
                <w:rFonts w:ascii="仿宋" w:hAnsi="仿宋" w:eastAsia="仿宋" w:cs="仿宋"/>
                <w:sz w:val="20"/>
              </w:rPr>
              <w:t>第六章 档案管理</w:t>
            </w:r>
          </w:p>
        </w:tc>
        <w:tc>
          <w:tcPr>
            <w:tcW w:w="4876" w:type="dxa"/>
          </w:tcPr>
          <w:p w14:paraId="588605C0">
            <w:pPr>
              <w:spacing w:after="0" w:line="240" w:lineRule="auto"/>
            </w:pPr>
            <w:r>
              <w:rPr>
                <w:rFonts w:ascii="仿宋" w:hAnsi="仿宋" w:eastAsia="仿宋" w:cs="仿宋"/>
                <w:sz w:val="20"/>
              </w:rPr>
              <w:t>讲本章要点，与一览表一致</w:t>
            </w:r>
          </w:p>
        </w:tc>
      </w:tr>
      <w:tr w14:paraId="1177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12BFB814">
            <w:pPr>
              <w:spacing w:after="0" w:line="240" w:lineRule="auto"/>
              <w:jc w:val="center"/>
            </w:pPr>
            <w:r>
              <w:rPr>
                <w:rFonts w:ascii="仿宋" w:hAnsi="仿宋" w:eastAsia="仿宋" w:cs="仿宋"/>
                <w:sz w:val="20"/>
              </w:rPr>
              <w:t>7</w:t>
            </w:r>
          </w:p>
        </w:tc>
        <w:tc>
          <w:tcPr>
            <w:tcW w:w="3742" w:type="dxa"/>
          </w:tcPr>
          <w:p w14:paraId="70E8C814">
            <w:pPr>
              <w:spacing w:after="0" w:line="240" w:lineRule="auto"/>
            </w:pPr>
            <w:r>
              <w:rPr>
                <w:rFonts w:ascii="仿宋" w:hAnsi="仿宋" w:eastAsia="仿宋" w:cs="仿宋"/>
                <w:sz w:val="20"/>
              </w:rPr>
              <w:t>第七章 类似项目业绩</w:t>
            </w:r>
          </w:p>
        </w:tc>
        <w:tc>
          <w:tcPr>
            <w:tcW w:w="4876" w:type="dxa"/>
          </w:tcPr>
          <w:p w14:paraId="3F9D86BE">
            <w:pPr>
              <w:spacing w:after="0" w:line="240" w:lineRule="auto"/>
            </w:pPr>
            <w:r>
              <w:rPr>
                <w:rFonts w:ascii="仿宋" w:hAnsi="仿宋" w:eastAsia="仿宋" w:cs="仿宋"/>
                <w:sz w:val="20"/>
              </w:rPr>
              <w:t>讲本章要点，与一览表一致</w:t>
            </w:r>
          </w:p>
        </w:tc>
      </w:tr>
      <w:tr w14:paraId="54E8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3CFB979C">
            <w:pPr>
              <w:spacing w:after="0" w:line="240" w:lineRule="auto"/>
              <w:jc w:val="center"/>
            </w:pPr>
            <w:r>
              <w:rPr>
                <w:rFonts w:ascii="仿宋" w:hAnsi="仿宋" w:eastAsia="仿宋" w:cs="仿宋"/>
                <w:sz w:val="20"/>
              </w:rPr>
              <w:t>8</w:t>
            </w:r>
          </w:p>
        </w:tc>
        <w:tc>
          <w:tcPr>
            <w:tcW w:w="3742" w:type="dxa"/>
          </w:tcPr>
          <w:p w14:paraId="1E5DA20C">
            <w:pPr>
              <w:spacing w:after="0" w:line="240" w:lineRule="auto"/>
            </w:pPr>
            <w:r>
              <w:rPr>
                <w:rFonts w:ascii="仿宋" w:hAnsi="仿宋" w:eastAsia="仿宋" w:cs="仿宋"/>
                <w:sz w:val="20"/>
              </w:rPr>
              <w:t>第八章 项目团队</w:t>
            </w:r>
          </w:p>
        </w:tc>
        <w:tc>
          <w:tcPr>
            <w:tcW w:w="4876" w:type="dxa"/>
          </w:tcPr>
          <w:p w14:paraId="3670A96E">
            <w:pPr>
              <w:spacing w:after="0" w:line="240" w:lineRule="auto"/>
            </w:pPr>
            <w:r>
              <w:rPr>
                <w:rFonts w:ascii="仿宋" w:hAnsi="仿宋" w:eastAsia="仿宋" w:cs="仿宋"/>
                <w:sz w:val="20"/>
              </w:rPr>
              <w:t>讲本章要点，与一览表一致</w:t>
            </w:r>
          </w:p>
        </w:tc>
      </w:tr>
      <w:tr w14:paraId="40A1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2B00C793">
            <w:pPr>
              <w:spacing w:after="0" w:line="240" w:lineRule="auto"/>
              <w:jc w:val="center"/>
            </w:pPr>
            <w:r>
              <w:rPr>
                <w:rFonts w:ascii="仿宋" w:hAnsi="仿宋" w:eastAsia="仿宋" w:cs="仿宋"/>
                <w:sz w:val="20"/>
              </w:rPr>
              <w:t>9</w:t>
            </w:r>
          </w:p>
        </w:tc>
        <w:tc>
          <w:tcPr>
            <w:tcW w:w="3742" w:type="dxa"/>
          </w:tcPr>
          <w:p w14:paraId="0E314C33">
            <w:pPr>
              <w:spacing w:after="0" w:line="240" w:lineRule="auto"/>
            </w:pPr>
            <w:r>
              <w:rPr>
                <w:rFonts w:ascii="仿宋" w:hAnsi="仿宋" w:eastAsia="仿宋" w:cs="仿宋"/>
                <w:sz w:val="20"/>
              </w:rPr>
              <w:t>结束页</w:t>
            </w:r>
          </w:p>
        </w:tc>
        <w:tc>
          <w:tcPr>
            <w:tcW w:w="4876" w:type="dxa"/>
          </w:tcPr>
          <w:p w14:paraId="2B4A729E">
            <w:pPr>
              <w:spacing w:after="0" w:line="240" w:lineRule="auto"/>
            </w:pPr>
            <w:r>
              <w:rPr>
                <w:rFonts w:ascii="仿宋" w:hAnsi="仿宋" w:eastAsia="仿宋" w:cs="仿宋"/>
                <w:sz w:val="20"/>
              </w:rPr>
              <w:t>服务承诺、联系人</w:t>
            </w:r>
          </w:p>
        </w:tc>
      </w:tr>
    </w:tbl>
    <w:p w14:paraId="61293CFD"/>
    <w:p w14:paraId="71CDB376">
      <w:pPr>
        <w:ind w:firstLine="480"/>
      </w:pPr>
      <w:r>
        <w:rPr>
          <w:rFonts w:ascii="仿宋" w:hAnsi="仿宋" w:eastAsia="仿宋" w:cs="仿宋"/>
          <w:b w:val="0"/>
          <w:sz w:val="24"/>
        </w:rPr>
        <w:t>5. 资格证明材料（第一章）、荣誉及其他材料（第九章）无需述标。</w:t>
      </w:r>
    </w:p>
    <w:p w14:paraId="4E1093B2">
      <w:pPr>
        <w:ind w:firstLine="480"/>
      </w:pPr>
      <w:r>
        <w:rPr>
          <w:rFonts w:ascii="仿宋" w:hAnsi="仿宋" w:eastAsia="仿宋" w:cs="仿宋"/>
          <w:b w:val="0"/>
          <w:sz w:val="24"/>
        </w:rPr>
        <w:t>6. PPT中</w:t>
      </w:r>
      <w:r>
        <w:rPr>
          <w:rFonts w:ascii="黑体" w:hAnsi="黑体" w:eastAsia="黑体" w:cs="黑体"/>
          <w:b w:val="0"/>
          <w:sz w:val="24"/>
        </w:rPr>
        <w:t>不得出现报价信息</w:t>
      </w:r>
      <w:r>
        <w:rPr>
          <w:rFonts w:ascii="仿宋" w:hAnsi="仿宋" w:eastAsia="仿宋" w:cs="仿宋"/>
          <w:b w:val="0"/>
          <w:sz w:val="24"/>
        </w:rPr>
        <w:t>；不得嵌入外部链接；如需视频，须嵌入PPT且总时长计入述标时间。</w:t>
      </w:r>
    </w:p>
    <w:p w14:paraId="4F7357DA">
      <w:pPr>
        <w:ind w:firstLine="480"/>
      </w:pPr>
      <w:r>
        <w:rPr>
          <w:rFonts w:ascii="仿宋" w:hAnsi="仿宋" w:eastAsia="仿宋" w:cs="仿宋"/>
          <w:b w:val="0"/>
          <w:sz w:val="24"/>
        </w:rPr>
        <w:t>7. PPT内容须与响应材料一致，不得出现响应材料中没有的业绩、人员、场地等事实。</w:t>
      </w:r>
    </w:p>
    <w:p w14:paraId="1EA15DA0">
      <w:pPr>
        <w:pStyle w:val="4"/>
      </w:pPr>
      <w:r>
        <w:rPr>
          <w:rFonts w:ascii="黑体" w:hAnsi="黑体" w:eastAsia="黑体" w:cs="黑体"/>
          <w:b/>
        </w:rPr>
        <w:t>八、报价函（附件4）</w:t>
      </w:r>
    </w:p>
    <w:p w14:paraId="6ABE8A30">
      <w:pPr>
        <w:ind w:firstLine="480"/>
      </w:pPr>
      <w:r>
        <w:rPr>
          <w:rFonts w:ascii="仿宋" w:hAnsi="仿宋" w:eastAsia="仿宋" w:cs="仿宋"/>
          <w:b w:val="0"/>
          <w:sz w:val="24"/>
        </w:rPr>
        <w:t>报价函未递交、未加盖公章或密封破损的，其报价按无效报价处理，其余部分照常评审。</w:t>
      </w:r>
    </w:p>
    <w:p w14:paraId="0FEE362F">
      <w:pPr>
        <w:ind w:firstLine="480"/>
      </w:pPr>
      <w:r>
        <w:rPr>
          <w:rFonts w:ascii="仿宋" w:hAnsi="仿宋" w:eastAsia="仿宋" w:cs="仿宋"/>
          <w:b w:val="0"/>
          <w:sz w:val="24"/>
        </w:rPr>
        <w:t>报价函不放入响应材料。比选当天，各响应人进场述标时当场递交单独密封的报价函（封口处加盖公章），在监督人员见证下拆封、宣读。本次比选不进行二次报价。格式如下：</w:t>
      </w:r>
    </w:p>
    <w:p w14:paraId="53330FED">
      <w:r>
        <w:br w:type="page"/>
      </w:r>
    </w:p>
    <w:p w14:paraId="3B16261C">
      <w:pPr>
        <w:jc w:val="center"/>
      </w:pPr>
      <w:r>
        <w:rPr>
          <w:rFonts w:ascii="黑体" w:hAnsi="黑体" w:eastAsia="黑体" w:cs="黑体"/>
          <w:b/>
          <w:sz w:val="36"/>
        </w:rPr>
        <w:t>报 价 函</w:t>
      </w:r>
    </w:p>
    <w:p w14:paraId="26A904C2">
      <w:r>
        <w:rPr>
          <w:rFonts w:ascii="仿宋" w:hAnsi="仿宋" w:eastAsia="仿宋" w:cs="仿宋"/>
          <w:b w:val="0"/>
          <w:sz w:val="28"/>
        </w:rPr>
        <w:t>云南省第一人民医院：</w:t>
      </w:r>
    </w:p>
    <w:p w14:paraId="782C2F10">
      <w:pPr>
        <w:ind w:firstLine="560"/>
      </w:pPr>
      <w:r>
        <w:rPr>
          <w:rFonts w:ascii="仿宋" w:hAnsi="仿宋" w:eastAsia="仿宋" w:cs="仿宋"/>
          <w:b w:val="0"/>
          <w:sz w:val="28"/>
        </w:rPr>
        <w:t>我方参加“云南省第一人民医院招标代理服务机构（货物类、服务类）入围项目”竞争性比选，经认真研究比选公告，现就招标代理服务费报价如下：</w:t>
      </w:r>
    </w:p>
    <w:p w14:paraId="20CABF1D">
      <w:pPr>
        <w:ind w:firstLine="560"/>
      </w:pPr>
      <w:r>
        <w:rPr>
          <w:rFonts w:ascii="黑体" w:hAnsi="黑体" w:eastAsia="黑体" w:cs="黑体"/>
          <w:b w:val="0"/>
          <w:sz w:val="28"/>
        </w:rPr>
        <w:t>招标代理服务费下浮率：________%（大写：百分之____________）</w:t>
      </w:r>
    </w:p>
    <w:p w14:paraId="0B7BE749">
      <w:r>
        <w:rPr>
          <w:rFonts w:ascii="仿宋" w:hAnsi="仿宋" w:eastAsia="仿宋" w:cs="仿宋"/>
          <w:b w:val="0"/>
          <w:sz w:val="28"/>
        </w:rPr>
        <w:t>说明：</w:t>
      </w:r>
    </w:p>
    <w:p w14:paraId="5AAD4C52">
      <w:pPr>
        <w:ind w:firstLine="560"/>
      </w:pPr>
      <w:r>
        <w:rPr>
          <w:rFonts w:ascii="仿宋" w:hAnsi="仿宋" w:eastAsia="仿宋" w:cs="仿宋"/>
          <w:b w:val="0"/>
          <w:sz w:val="28"/>
        </w:rPr>
        <w:t>1. 下浮率以《招标代理服务收费管理暂行办法》（计价格〔2002〕1980号）、《国家发展改革委办公厅关于招标代理服务费有关问题的通知》（发改办价格〔2003〕857号）规定的收费标准为基数计算，采用差额累进计费。</w:t>
      </w:r>
    </w:p>
    <w:p w14:paraId="53C0F2C4">
      <w:pPr>
        <w:ind w:firstLine="560"/>
      </w:pPr>
      <w:r>
        <w:rPr>
          <w:rFonts w:ascii="仿宋" w:hAnsi="仿宋" w:eastAsia="仿宋" w:cs="仿宋"/>
          <w:b w:val="0"/>
          <w:sz w:val="28"/>
        </w:rPr>
        <w:t>2. 下浮率须为整数百分比，不允许有小数点；大小写不一致的，以大写为准。</w:t>
      </w:r>
    </w:p>
    <w:p w14:paraId="26D5F674">
      <w:pPr>
        <w:ind w:firstLine="560"/>
      </w:pPr>
      <w:r>
        <w:rPr>
          <w:rFonts w:ascii="仿宋" w:hAnsi="仿宋" w:eastAsia="仿宋" w:cs="仿宋"/>
          <w:b w:val="0"/>
          <w:sz w:val="28"/>
        </w:rPr>
        <w:t>3. 本报价在服务期内保持不变。</w:t>
      </w:r>
    </w:p>
    <w:p w14:paraId="681ABF3D">
      <w:pPr>
        <w:jc w:val="right"/>
      </w:pPr>
      <w:r>
        <w:rPr>
          <w:rFonts w:ascii="仿宋" w:hAnsi="仿宋" w:eastAsia="仿宋" w:cs="仿宋"/>
          <w:b w:val="0"/>
          <w:sz w:val="28"/>
        </w:rPr>
        <w:t>响应人（盖章）：________________________</w:t>
      </w:r>
    </w:p>
    <w:p w14:paraId="06F8EC94">
      <w:pPr>
        <w:jc w:val="right"/>
      </w:pPr>
      <w:r>
        <w:rPr>
          <w:rFonts w:ascii="仿宋" w:hAnsi="仿宋" w:eastAsia="仿宋" w:cs="仿宋"/>
          <w:b w:val="0"/>
          <w:sz w:val="28"/>
        </w:rPr>
        <w:t>日期：______年____月____日</w:t>
      </w:r>
    </w:p>
    <w:p w14:paraId="259AD9DC">
      <w:r>
        <w:br w:type="page"/>
      </w:r>
    </w:p>
    <w:p w14:paraId="64EE47F3">
      <w:pPr>
        <w:pStyle w:val="4"/>
      </w:pPr>
      <w:r>
        <w:rPr>
          <w:rFonts w:ascii="黑体" w:hAnsi="黑体" w:eastAsia="黑体" w:cs="黑体"/>
          <w:b/>
        </w:rPr>
        <w:t>九、发送与递交</w:t>
      </w:r>
    </w:p>
    <w:p w14:paraId="56FC9CD4">
      <w:pPr>
        <w:ind w:firstLine="480"/>
      </w:pPr>
      <w:r>
        <w:rPr>
          <w:rFonts w:ascii="仿宋" w:hAnsi="仿宋" w:eastAsia="仿宋" w:cs="仿宋"/>
          <w:b w:val="0"/>
          <w:sz w:val="24"/>
        </w:rPr>
        <w:t xml:space="preserve">1. </w:t>
      </w:r>
      <w:r>
        <w:rPr>
          <w:rFonts w:ascii="黑体" w:hAnsi="黑体" w:eastAsia="黑体" w:cs="黑体"/>
          <w:b w:val="0"/>
          <w:sz w:val="24"/>
        </w:rPr>
        <w:t>电子版</w:t>
      </w:r>
      <w:r>
        <w:rPr>
          <w:rFonts w:ascii="仿宋" w:hAnsi="仿宋" w:eastAsia="仿宋" w:cs="仿宋"/>
          <w:b w:val="0"/>
          <w:sz w:val="24"/>
        </w:rPr>
        <w:t>：截止时间前发送邮件，以邮件到达本院邮箱的时间为准。</w:t>
      </w:r>
    </w:p>
    <w:p w14:paraId="75C9730E">
      <w:pPr>
        <w:ind w:firstLine="480"/>
      </w:pPr>
      <w:r>
        <w:rPr>
          <w:rFonts w:ascii="仿宋" w:hAnsi="仿宋" w:eastAsia="仿宋" w:cs="仿宋"/>
          <w:b w:val="0"/>
          <w:sz w:val="24"/>
        </w:rPr>
        <w:t xml:space="preserve">2. </w:t>
      </w:r>
      <w:r>
        <w:rPr>
          <w:rFonts w:ascii="黑体" w:hAnsi="黑体" w:eastAsia="黑体" w:cs="黑体"/>
          <w:b w:val="0"/>
          <w:sz w:val="24"/>
        </w:rPr>
        <w:t>纸质版</w:t>
      </w:r>
      <w:r>
        <w:rPr>
          <w:rFonts w:ascii="仿宋" w:hAnsi="仿宋" w:eastAsia="仿宋" w:cs="仿宋"/>
          <w:b w:val="0"/>
          <w:sz w:val="24"/>
        </w:rPr>
        <w:t>：一套，比选当天签到时递交；封面注明项目名称、响应人全称、联系人及电话。</w:t>
      </w:r>
    </w:p>
    <w:p w14:paraId="707C7B1A">
      <w:pPr>
        <w:ind w:firstLine="480"/>
      </w:pPr>
      <w:r>
        <w:rPr>
          <w:rFonts w:ascii="仿宋" w:hAnsi="仿宋" w:eastAsia="仿宋" w:cs="仿宋"/>
          <w:b w:val="0"/>
          <w:sz w:val="24"/>
        </w:rPr>
        <w:t>3. 截止后至比选结束，不得补充、更换响应材料。采购人发现书签缺失、页码标注错误等格式性问题时，可通知响应人在规定时间内通过邮件重新发送更正版，但不得修改材料内容。</w:t>
      </w:r>
    </w:p>
    <w:p w14:paraId="70F940ED">
      <w:pPr>
        <w:pStyle w:val="4"/>
      </w:pPr>
      <w:r>
        <w:rPr>
          <w:rFonts w:ascii="黑体" w:hAnsi="黑体" w:eastAsia="黑体" w:cs="黑体"/>
          <w:b/>
        </w:rPr>
        <w:t>十、常见问题</w:t>
      </w:r>
    </w:p>
    <w:p w14:paraId="7FC58B23">
      <w:pPr>
        <w:ind w:firstLine="480"/>
      </w:pPr>
      <w:r>
        <w:rPr>
          <w:rFonts w:ascii="黑体" w:hAnsi="黑体" w:eastAsia="黑体" w:cs="黑体"/>
          <w:b w:val="0"/>
          <w:sz w:val="24"/>
        </w:rPr>
        <w:t>问：一览表某项本机构没有，怎么填？</w:t>
      </w:r>
      <w:r>
        <w:rPr>
          <w:rFonts w:ascii="仿宋" w:hAnsi="仿宋" w:eastAsia="仿宋" w:cs="仿宋"/>
          <w:b w:val="0"/>
          <w:sz w:val="24"/>
        </w:rPr>
        <w:t>　答：如实填写“无”或选择“否”，不要空着。</w:t>
      </w:r>
    </w:p>
    <w:p w14:paraId="50B532AD">
      <w:pPr>
        <w:ind w:firstLine="480"/>
      </w:pPr>
      <w:r>
        <w:rPr>
          <w:rFonts w:ascii="黑体" w:hAnsi="黑体" w:eastAsia="黑体" w:cs="黑体"/>
          <w:b w:val="0"/>
          <w:sz w:val="24"/>
        </w:rPr>
        <w:t>问：业绩超过20项怎么办？</w:t>
      </w:r>
      <w:r>
        <w:rPr>
          <w:rFonts w:ascii="仿宋" w:hAnsi="仿宋" w:eastAsia="仿宋" w:cs="仿宋"/>
          <w:b w:val="0"/>
          <w:sz w:val="24"/>
        </w:rPr>
        <w:t>　答：按完成时间由近及远，选填20项，同一项目多个标段合并填一行。</w:t>
      </w:r>
    </w:p>
    <w:p w14:paraId="09CAACFB">
      <w:pPr>
        <w:ind w:firstLine="480"/>
      </w:pPr>
      <w:r>
        <w:rPr>
          <w:rFonts w:ascii="黑体" w:hAnsi="黑体" w:eastAsia="黑体" w:cs="黑体"/>
          <w:b w:val="0"/>
          <w:sz w:val="24"/>
        </w:rPr>
        <w:t>问：同一人有多个证书怎么统计人数？</w:t>
      </w:r>
      <w:r>
        <w:rPr>
          <w:rFonts w:ascii="仿宋" w:hAnsi="仿宋" w:eastAsia="仿宋" w:cs="仿宋"/>
          <w:b w:val="0"/>
          <w:sz w:val="24"/>
        </w:rPr>
        <w:t>　答：在各对应证书类别下分别计入。</w:t>
      </w:r>
    </w:p>
    <w:p w14:paraId="7847FA07">
      <w:pPr>
        <w:ind w:firstLine="480"/>
      </w:pPr>
      <w:r>
        <w:rPr>
          <w:rFonts w:ascii="黑体" w:hAnsi="黑体" w:eastAsia="黑体" w:cs="黑体"/>
          <w:b w:val="0"/>
          <w:sz w:val="24"/>
        </w:rPr>
        <w:t>问：PDF页码和纸质页码对不上怎么办？</w:t>
      </w:r>
      <w:r>
        <w:rPr>
          <w:rFonts w:ascii="仿宋" w:hAnsi="仿宋" w:eastAsia="仿宋" w:cs="仿宋"/>
          <w:b w:val="0"/>
          <w:sz w:val="24"/>
        </w:rPr>
        <w:t>　答：以封面为第1页连续编排，确保两者一致；递交前请抽查核对。</w:t>
      </w:r>
    </w:p>
    <w:p w14:paraId="6FBFBD7C">
      <w:pPr>
        <w:ind w:firstLine="480"/>
      </w:pPr>
      <w:r>
        <w:rPr>
          <w:rFonts w:ascii="黑体" w:hAnsi="黑体" w:eastAsia="黑体" w:cs="黑体"/>
          <w:b w:val="0"/>
          <w:sz w:val="24"/>
        </w:rPr>
        <w:t>问：可以只交PDF、不交纸质版吗？</w:t>
      </w:r>
      <w:r>
        <w:rPr>
          <w:rFonts w:ascii="仿宋" w:hAnsi="仿宋" w:eastAsia="仿宋" w:cs="仿宋"/>
          <w:b w:val="0"/>
          <w:sz w:val="24"/>
        </w:rPr>
        <w:t>　答：不可以。纸质版一套比选当天带来，由采购人存档。</w:t>
      </w:r>
    </w:p>
    <w:p w14:paraId="30BD6ECB">
      <w:pPr>
        <w:ind w:firstLine="480"/>
      </w:pPr>
      <w:r>
        <w:rPr>
          <w:rFonts w:ascii="黑体" w:hAnsi="黑体" w:eastAsia="黑体" w:cs="黑体"/>
          <w:b w:val="0"/>
          <w:sz w:val="24"/>
        </w:rPr>
        <w:t>问：邮件附件太大发不出去怎么办？</w:t>
      </w:r>
      <w:r>
        <w:rPr>
          <w:rFonts w:ascii="仿宋" w:hAnsi="仿宋" w:eastAsia="仿宋" w:cs="仿宋"/>
          <w:b w:val="0"/>
          <w:sz w:val="24"/>
        </w:rPr>
        <w:t>　答：使用邮箱的“超大附件”功能，下载有效期不少于15天；或将扫描分辨率调到200dpi后重新生成PDF。</w:t>
      </w:r>
    </w:p>
    <w:p w14:paraId="3D889653">
      <w:pPr>
        <w:ind w:firstLine="480"/>
      </w:pPr>
      <w:r>
        <w:rPr>
          <w:rFonts w:ascii="黑体" w:hAnsi="黑体" w:eastAsia="黑体" w:cs="黑体"/>
          <w:b w:val="0"/>
          <w:sz w:val="24"/>
        </w:rPr>
        <w:t>问：材料多、超过页数上限怎么办？</w:t>
      </w:r>
      <w:r>
        <w:rPr>
          <w:rFonts w:ascii="仿宋" w:hAnsi="仿宋" w:eastAsia="仿宋" w:cs="仿宋"/>
          <w:b w:val="0"/>
          <w:sz w:val="24"/>
        </w:rPr>
        <w:t>　答：精选与本项目相关的内容，各章篇幅自行安排。第300页之后的页面不予评审，不会因为材料多而占优。</w:t>
      </w:r>
    </w:p>
    <w:p w14:paraId="36AB8932">
      <w:pPr>
        <w:ind w:firstLine="480"/>
      </w:pPr>
      <w:r>
        <w:rPr>
          <w:rFonts w:ascii="黑体" w:hAnsi="黑体" w:eastAsia="黑体" w:cs="黑体"/>
          <w:b w:val="0"/>
          <w:sz w:val="24"/>
        </w:rPr>
        <w:t>问：除了必须提供的，还能多交别的吗？</w:t>
      </w:r>
      <w:r>
        <w:rPr>
          <w:rFonts w:ascii="仿宋" w:hAnsi="仿宋" w:eastAsia="仿宋" w:cs="仿宋"/>
          <w:b w:val="0"/>
          <w:sz w:val="24"/>
        </w:rPr>
        <w:t>　答：可以，在对应章节内补充，但须在页数上限之内。</w:t>
      </w:r>
      <w:bookmarkStart w:id="0" w:name="_GoBack"/>
      <w:bookmarkEnd w:id="0"/>
    </w:p>
    <w:p w14:paraId="1D23AE2D">
      <w:pPr>
        <w:rPr>
          <w:rFonts w:hint="default" w:eastAsia="仿宋"/>
          <w:lang w:val="en-US" w:eastAsia="zh-CN"/>
        </w:rPr>
      </w:pPr>
      <w:r>
        <w:rPr>
          <w:rFonts w:ascii="仿宋" w:hAnsi="仿宋" w:eastAsia="仿宋" w:cs="仿宋"/>
          <w:b w:val="0"/>
          <w:sz w:val="24"/>
        </w:rPr>
        <w:t>如有疑问，请联系：云南省第一人民医院国资处 尹老师 0871-</w:t>
      </w:r>
      <w:r>
        <w:rPr>
          <w:rFonts w:hint="eastAsia" w:cs="仿宋"/>
          <w:b w:val="0"/>
          <w:sz w:val="24"/>
          <w:lang w:val="en-US" w:eastAsia="zh-CN"/>
        </w:rPr>
        <w:t>63638089</w:t>
      </w:r>
    </w:p>
    <w:sectPr>
      <w:footerReference r:id="rId5" w:type="default"/>
      <w:pgSz w:w="11906" w:h="16838"/>
      <w:pgMar w:top="1247" w:right="1247" w:bottom="1247"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B0C4E">
    <w:pPr>
      <w:pStyle w:val="24"/>
      <w:jc w:val="center"/>
    </w:pPr>
    <w:r>
      <w:rPr>
        <w:rFonts w:ascii="仿宋" w:hAnsi="仿宋" w:eastAsia="仿宋" w:cs="仿宋"/>
        <w:sz w:val="18"/>
      </w:rPr>
      <w:t xml:space="preserve">第 </w:t>
    </w:r>
    <w:r>
      <w:rPr>
        <w:rFonts w:ascii="仿宋" w:hAnsi="仿宋" w:eastAsia="仿宋" w:cs="仿宋"/>
        <w:sz w:val="18"/>
      </w:rPr>
      <w:fldChar w:fldCharType="begin"/>
    </w:r>
    <w:r>
      <w:rPr>
        <w:rFonts w:ascii="仿宋" w:hAnsi="仿宋" w:eastAsia="仿宋" w:cs="仿宋"/>
        <w:sz w:val="18"/>
      </w:rPr>
      <w:instrText xml:space="preserve">PAGE</w:instrText>
    </w:r>
    <w:r>
      <w:rPr>
        <w:rFonts w:ascii="仿宋" w:hAnsi="仿宋" w:eastAsia="仿宋" w:cs="仿宋"/>
        <w:sz w:val="18"/>
      </w:rPr>
      <w:fldChar w:fldCharType="end"/>
    </w:r>
    <w:r>
      <w:rPr>
        <w:rFonts w:ascii="仿宋" w:hAnsi="仿宋" w:eastAsia="仿宋" w:cs="仿宋"/>
        <w:sz w:val="18"/>
      </w:rPr>
      <w:t xml:space="preserve"> 页 共 </w:t>
    </w:r>
    <w:r>
      <w:rPr>
        <w:rFonts w:ascii="仿宋" w:hAnsi="仿宋" w:eastAsia="仿宋" w:cs="仿宋"/>
        <w:sz w:val="18"/>
      </w:rPr>
      <w:fldChar w:fldCharType="begin"/>
    </w:r>
    <w:r>
      <w:rPr>
        <w:rFonts w:ascii="仿宋" w:hAnsi="仿宋" w:eastAsia="仿宋" w:cs="仿宋"/>
        <w:sz w:val="18"/>
      </w:rPr>
      <w:instrText xml:space="preserve">NUMPAGES</w:instrText>
    </w:r>
    <w:r>
      <w:rPr>
        <w:rFonts w:ascii="仿宋" w:hAnsi="仿宋" w:eastAsia="仿宋" w:cs="仿宋"/>
        <w:sz w:val="18"/>
      </w:rPr>
      <w:fldChar w:fldCharType="end"/>
    </w:r>
    <w:r>
      <w:rPr>
        <w:rFonts w:ascii="仿宋" w:hAnsi="仿宋" w:eastAsia="仿宋" w:cs="仿宋"/>
        <w:sz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4" w:lineRule="auto"/>
      </w:pPr>
      <w:r>
        <w:separator/>
      </w:r>
    </w:p>
  </w:footnote>
  <w:footnote w:type="continuationSeparator" w:id="1">
    <w:p>
      <w:pPr>
        <w:spacing w:before="0" w:after="0" w:line="32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4F7C4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qFormat="1"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60" w:line="324" w:lineRule="auto"/>
    </w:pPr>
    <w:rPr>
      <w:rFonts w:ascii="仿宋" w:hAnsi="仿宋" w:eastAsia="仿宋" w:cstheme="minorBidi"/>
      <w:sz w:val="24"/>
      <w:szCs w:val="22"/>
      <w:lang w:val="en-US" w:eastAsia="en-US" w:bidi="ar-SA"/>
    </w:rPr>
  </w:style>
  <w:style w:type="paragraph" w:styleId="3">
    <w:name w:val="heading 1"/>
    <w:basedOn w:val="1"/>
    <w:next w:val="1"/>
    <w:link w:val="138"/>
    <w:qFormat/>
    <w:uiPriority w:val="9"/>
    <w:pPr>
      <w:keepNext/>
      <w:keepLines/>
      <w:spacing w:before="200" w:after="80"/>
      <w:outlineLvl w:val="0"/>
    </w:pPr>
    <w:rPr>
      <w:rFonts w:ascii="黑体" w:hAnsi="黑体" w:eastAsia="黑体" w:cs="黑体"/>
      <w:b/>
      <w:bCs/>
      <w:sz w:val="32"/>
      <w:szCs w:val="28"/>
    </w:rPr>
  </w:style>
  <w:style w:type="paragraph" w:styleId="4">
    <w:name w:val="heading 2"/>
    <w:basedOn w:val="1"/>
    <w:next w:val="1"/>
    <w:link w:val="139"/>
    <w:unhideWhenUsed/>
    <w:qFormat/>
    <w:uiPriority w:val="9"/>
    <w:pPr>
      <w:keepNext/>
      <w:keepLines/>
      <w:spacing w:before="120" w:after="80"/>
      <w:outlineLvl w:val="1"/>
    </w:pPr>
    <w:rPr>
      <w:rFonts w:ascii="黑体" w:hAnsi="黑体" w:eastAsia="黑体" w:cs="黑体"/>
      <w:b/>
      <w:bCs/>
      <w:sz w:val="28"/>
      <w:szCs w:val="26"/>
    </w:rPr>
  </w:style>
  <w:style w:type="paragraph" w:styleId="5">
    <w:name w:val="heading 3"/>
    <w:basedOn w:val="1"/>
    <w:next w:val="1"/>
    <w:link w:val="140"/>
    <w:unhideWhenUsed/>
    <w:qFormat/>
    <w:uiPriority w:val="9"/>
    <w:pPr>
      <w:keepNext/>
      <w:keepLines/>
      <w:spacing w:before="120" w:after="80"/>
      <w:outlineLvl w:val="2"/>
    </w:pPr>
    <w:rPr>
      <w:rFonts w:ascii="黑体" w:hAnsi="黑体" w:eastAsia="黑体" w:cs="黑体"/>
      <w:b/>
      <w:bCs/>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4647</Words>
  <Characters>5051</Characters>
  <Lines>0</Lines>
  <Paragraphs>0</Paragraphs>
  <TotalTime>0</TotalTime>
  <ScaleCrop>false</ScaleCrop>
  <LinksUpToDate>false</LinksUpToDate>
  <CharactersWithSpaces>5152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尹华仙</cp:lastModifiedBy>
  <dcterms:modified xsi:type="dcterms:W3CDTF">2026-10-13T07:53:05Z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eyJoZGlkIjoiNThmZWFhYTdlNDFhNDJiNzI1ZmNlNGQ4NDcwOGM5MjMiLCJ1c2VySWQiOiIxNjgxMTczNzk2In0=</vt:lpwstr>
  </property>
  <property fmtid="{D5CDD505-2E9C-101B-9397-08002B2CF9AE}" pid="3" name="KSOProductBuildVer">
    <vt:lpwstr>2052-12.1.0.28505</vt:lpwstr>
  </property>
  <property fmtid="{D5CDD505-2E9C-101B-9397-08002B2CF9AE}" pid="4" name="ICV">
    <vt:lpwstr>A0BD39F176E841DDA6C89DD00D29FD58_12</vt:lpwstr>
  </property>
</Properties>
</file>