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3DA016">
      <w:pPr>
        <w:widowControl/>
        <w:adjustRightInd w:val="0"/>
        <w:snapToGrid w:val="0"/>
        <w:spacing w:line="360" w:lineRule="auto"/>
        <w:jc w:val="left"/>
        <w:outlineLvl w:val="1"/>
        <w:rPr>
          <w:rFonts w:hint="eastAsia" w:ascii="宋体" w:hAnsi="宋体" w:eastAsia="宋体" w:cs="仿宋"/>
          <w:b/>
          <w:bCs/>
          <w:color w:val="000000" w:themeColor="text1"/>
          <w:sz w:val="30"/>
          <w:szCs w:val="30"/>
          <w:lang w:bidi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仿宋"/>
          <w:b/>
          <w:bCs/>
          <w:color w:val="000000" w:themeColor="text1"/>
          <w:sz w:val="30"/>
          <w:szCs w:val="30"/>
          <w:lang w:bidi="en-US"/>
          <w14:textFill>
            <w14:solidFill>
              <w14:schemeClr w14:val="tx1"/>
            </w14:solidFill>
          </w14:textFill>
        </w:rPr>
        <w:t>现状及需求分析</w:t>
      </w:r>
    </w:p>
    <w:p w14:paraId="2FDEAED8">
      <w:pPr>
        <w:widowControl/>
        <w:numPr>
          <w:ilvl w:val="0"/>
          <w:numId w:val="1"/>
        </w:numPr>
        <w:adjustRightInd w:val="0"/>
        <w:snapToGrid w:val="0"/>
        <w:spacing w:line="360" w:lineRule="auto"/>
        <w:ind w:firstLine="562" w:firstLineChars="200"/>
        <w:jc w:val="left"/>
        <w:rPr>
          <w:rFonts w:hint="eastAsia" w:ascii="宋体" w:hAnsi="宋体" w:eastAsia="宋体" w:cs="仿宋"/>
          <w:b/>
          <w:bCs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仿宋"/>
          <w:b/>
          <w:bCs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  <w:t>现状及存在问题</w:t>
      </w:r>
    </w:p>
    <w:p w14:paraId="4EA3DE7F">
      <w:pPr>
        <w:widowControl/>
        <w:adjustRightInd w:val="0"/>
        <w:snapToGrid w:val="0"/>
        <w:spacing w:line="360" w:lineRule="auto"/>
        <w:ind w:firstLine="420"/>
        <w:jc w:val="left"/>
        <w:rPr>
          <w:rFonts w:hint="eastAsia" w:ascii="宋体" w:hAnsi="宋体" w:eastAsia="宋体" w:cs="仿宋"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仿宋"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  <w:t>（1）基础设施服务现状</w:t>
      </w:r>
    </w:p>
    <w:p w14:paraId="3E01A49F">
      <w:pPr>
        <w:pStyle w:val="2"/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>不涉及新增基础设施服务。心电信息管理系统部署于医院院内机房，复用医院现有服务器、存储、网络、安全设备，依托医院现有机房基础设施承载业务</w:t>
      </w:r>
      <w:r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>。</w:t>
      </w:r>
    </w:p>
    <w:p w14:paraId="56F3CC58">
      <w:pPr>
        <w:widowControl/>
        <w:adjustRightInd w:val="0"/>
        <w:snapToGrid w:val="0"/>
        <w:spacing w:line="360" w:lineRule="auto"/>
        <w:ind w:firstLine="420"/>
        <w:jc w:val="left"/>
        <w:rPr>
          <w:rFonts w:hint="eastAsia" w:ascii="宋体" w:hAnsi="宋体" w:eastAsia="宋体" w:cs="仿宋"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仿宋"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  <w:t>（2）平台（系统）现状</w:t>
      </w:r>
    </w:p>
    <w:p w14:paraId="6E0FF43A">
      <w:pPr>
        <w:pStyle w:val="2"/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>心电信息管理系统部署于本院中心机房，实现全院心电图机设备联网，完成心电信号采集、心电数据存储、统一由心内科新功能组完成诊断报, 系统与医院 HIS、电子病历系统实现接口对接，临床医生科通过一声工作站调阅报告。系统上线多年，每年开展维保服务，但一直未交过维保。</w:t>
      </w:r>
    </w:p>
    <w:p w14:paraId="09A17B77">
      <w:pPr>
        <w:widowControl/>
        <w:adjustRightInd w:val="0"/>
        <w:snapToGrid w:val="0"/>
        <w:spacing w:line="360" w:lineRule="auto"/>
        <w:ind w:firstLine="420"/>
        <w:jc w:val="left"/>
        <w:rPr>
          <w:rFonts w:hint="eastAsia" w:ascii="宋体" w:hAnsi="宋体" w:eastAsia="宋体" w:cs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仿宋"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  <w:t>（3）运行维护管理现状</w:t>
      </w:r>
    </w:p>
    <w:p w14:paraId="1AA01DD0">
      <w:pPr>
        <w:pStyle w:val="2"/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>系统</w:t>
      </w:r>
      <w:bookmarkStart w:id="0" w:name="_GoBack"/>
      <w:bookmarkEnd w:id="0"/>
      <w:r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>上线多年，一直提供</w:t>
      </w:r>
      <w:r>
        <w:rPr>
          <w:rFonts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>远程 + 现场技术支持</w:t>
      </w:r>
      <w:r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>，未交过维保费用</w:t>
      </w:r>
      <w:r>
        <w:rPr>
          <w:rFonts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>2025年6月开始，提供驻场服务，特此申请驻场运维服务费。</w:t>
      </w:r>
    </w:p>
    <w:p w14:paraId="3977123F">
      <w:pPr>
        <w:widowControl/>
        <w:adjustRightInd w:val="0"/>
        <w:snapToGrid w:val="0"/>
        <w:spacing w:line="360" w:lineRule="auto"/>
        <w:ind w:firstLine="420"/>
        <w:jc w:val="left"/>
        <w:rPr>
          <w:rFonts w:hint="eastAsia" w:ascii="宋体" w:hAnsi="宋体" w:eastAsia="宋体" w:cs="仿宋"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仿宋"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  <w:t>（4）系统业务运营服务现状</w:t>
      </w:r>
    </w:p>
    <w:p w14:paraId="3A31AA35">
      <w:pPr>
        <w:pStyle w:val="2"/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>不涉及系统业务运营服务</w:t>
      </w:r>
    </w:p>
    <w:p w14:paraId="1A29F697">
      <w:pPr>
        <w:pStyle w:val="2"/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</w:pPr>
    </w:p>
    <w:p w14:paraId="5C5522F6">
      <w:pPr>
        <w:widowControl/>
        <w:adjustRightInd w:val="0"/>
        <w:snapToGrid w:val="0"/>
        <w:spacing w:line="360" w:lineRule="auto"/>
        <w:ind w:firstLine="420"/>
        <w:jc w:val="left"/>
        <w:rPr>
          <w:rFonts w:hint="eastAsia" w:ascii="宋体" w:hAnsi="宋体" w:eastAsia="宋体" w:cs="仿宋"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仿宋"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  <w:t>（5）网络安全现状</w:t>
      </w:r>
    </w:p>
    <w:p w14:paraId="03D88D92">
      <w:pPr>
        <w:pStyle w:val="2"/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>系统纳入医院内网安全域，受医院防火墙、终端安全、日志审计体系保护；心电数据属于患者敏感医疗健康数据，医院现有备份策略可完成数据备份，但仍需要维保方配合定期核查系统日志、权限配置，规避越权访问、数据泄露风险</w:t>
      </w:r>
      <w:r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>。</w:t>
      </w:r>
    </w:p>
    <w:p w14:paraId="6D15D779">
      <w:pPr>
        <w:pStyle w:val="2"/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</w:pPr>
    </w:p>
    <w:p w14:paraId="6C434BF4">
      <w:pPr>
        <w:widowControl/>
        <w:adjustRightInd w:val="0"/>
        <w:snapToGrid w:val="0"/>
        <w:spacing w:line="360" w:lineRule="auto"/>
        <w:ind w:firstLine="420"/>
        <w:jc w:val="left"/>
        <w:rPr>
          <w:rFonts w:hint="eastAsia" w:ascii="宋体" w:hAnsi="宋体" w:eastAsia="宋体" w:cs="仿宋"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仿宋"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  <w:t>（6）存在问题</w:t>
      </w:r>
    </w:p>
    <w:p w14:paraId="6A400394">
      <w:pPr>
        <w:pStyle w:val="2"/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 xml:space="preserve">1. </w:t>
      </w:r>
      <w:r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>要求厂家提供现场驻场服务，需要支付驻场服务费用</w:t>
      </w:r>
      <w:r>
        <w:rPr>
          <w:rFonts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 xml:space="preserve">； </w:t>
      </w:r>
    </w:p>
    <w:p w14:paraId="63147281">
      <w:pPr>
        <w:pStyle w:val="2"/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 xml:space="preserve">2. 随着业务量增加，心电数据持续累积，偶发系统查询慢、性能下降问题，需要定期调优； </w:t>
      </w:r>
    </w:p>
    <w:p w14:paraId="2A372417">
      <w:pPr>
        <w:pStyle w:val="2"/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>3. 院内部分心电采集设备版本迭代，需要维护系统对接接口，保障设备数据正常上传；</w:t>
      </w:r>
    </w:p>
    <w:p w14:paraId="49B8991A">
      <w:pPr>
        <w:pStyle w:val="2"/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 xml:space="preserve"> 4. 患者心电属于敏感医疗数据，需要维保配合定期核查系统权限、日志、备份有效性，降低数据安全风险</w:t>
      </w:r>
      <w:r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>。</w:t>
      </w:r>
    </w:p>
    <w:p w14:paraId="0B2499BF">
      <w:pPr>
        <w:widowControl/>
        <w:numPr>
          <w:ilvl w:val="0"/>
          <w:numId w:val="1"/>
        </w:numPr>
        <w:adjustRightInd w:val="0"/>
        <w:snapToGrid w:val="0"/>
        <w:spacing w:line="360" w:lineRule="auto"/>
        <w:ind w:firstLine="562" w:firstLineChars="200"/>
        <w:jc w:val="left"/>
        <w:rPr>
          <w:rFonts w:hint="eastAsia" w:ascii="宋体" w:hAnsi="宋体" w:eastAsia="宋体" w:cs="仿宋"/>
          <w:b/>
          <w:bCs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仿宋"/>
          <w:b/>
          <w:bCs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  <w:t>需求分析</w:t>
      </w:r>
    </w:p>
    <w:p w14:paraId="3F1ADF4C">
      <w:pPr>
        <w:widowControl/>
        <w:adjustRightInd w:val="0"/>
        <w:snapToGrid w:val="0"/>
        <w:spacing w:line="360" w:lineRule="auto"/>
        <w:ind w:firstLine="420"/>
        <w:jc w:val="left"/>
        <w:rPr>
          <w:rFonts w:hint="eastAsia" w:ascii="宋体" w:hAnsi="宋体" w:eastAsia="宋体" w:cs="仿宋"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仿宋"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  <w:t>（1）业务需求分析</w:t>
      </w:r>
    </w:p>
    <w:p w14:paraId="690186B3">
      <w:pPr>
        <w:pStyle w:val="2"/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>使用用户：</w:t>
      </w:r>
      <w:r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>心电图</w:t>
      </w:r>
      <w:r>
        <w:rPr>
          <w:rFonts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>医生、各科室临床医师、信息科管理员。用户数量：心电</w:t>
      </w:r>
      <w:r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>图医生</w:t>
      </w:r>
      <w:r>
        <w:rPr>
          <w:rFonts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>10</w:t>
      </w:r>
      <w:r>
        <w:rPr>
          <w:rFonts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>余人，</w:t>
      </w:r>
      <w:r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>所有临床科室</w:t>
      </w:r>
      <w:r>
        <w:rPr>
          <w:rFonts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 xml:space="preserve">。 </w:t>
      </w:r>
    </w:p>
    <w:p w14:paraId="7469F197">
      <w:pPr>
        <w:pStyle w:val="2"/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 xml:space="preserve">业务场景：门诊心电图检查、住院床旁心电采集、急诊心电检查、心电报告书写、报告查阅、科研调取心电归档数据。 </w:t>
      </w:r>
    </w:p>
    <w:p w14:paraId="19F659D9">
      <w:pPr>
        <w:pStyle w:val="2"/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>业务需求：保障心电检查全流程业务连续；故障发生后快速恢复业务；支持患者信息与 HIS、电子病历互联互通；保障报告及时出具，不影响临床诊断。</w:t>
      </w:r>
    </w:p>
    <w:p w14:paraId="45E4246A">
      <w:pPr>
        <w:widowControl/>
        <w:adjustRightInd w:val="0"/>
        <w:snapToGrid w:val="0"/>
        <w:spacing w:line="360" w:lineRule="auto"/>
        <w:ind w:firstLine="420"/>
        <w:jc w:val="left"/>
        <w:rPr>
          <w:rFonts w:hint="eastAsia" w:ascii="宋体" w:hAnsi="宋体" w:eastAsia="宋体" w:cs="仿宋"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仿宋"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  <w:t>（2）基础设施需求分析</w:t>
      </w:r>
    </w:p>
    <w:p w14:paraId="46104CB7">
      <w:pPr>
        <w:pStyle w:val="2"/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>不申请新增政务云、政务网资源，全部复用医院现有机房基础设施</w:t>
      </w:r>
      <w:r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>。</w:t>
      </w:r>
    </w:p>
    <w:p w14:paraId="0DF7E899">
      <w:pPr>
        <w:widowControl/>
        <w:adjustRightInd w:val="0"/>
        <w:snapToGrid w:val="0"/>
        <w:spacing w:line="360" w:lineRule="auto"/>
        <w:ind w:firstLine="420"/>
        <w:jc w:val="left"/>
        <w:rPr>
          <w:rFonts w:hint="eastAsia" w:ascii="宋体" w:hAnsi="宋体" w:eastAsia="宋体" w:cs="仿宋"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仿宋"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  <w:t>（3）公共服务需求分析</w:t>
      </w:r>
    </w:p>
    <w:p w14:paraId="79CEB021">
      <w:pPr>
        <w:pStyle w:val="2"/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>本系统为医院院内临床业务系统，不对接云南政务服务网，不使用省级统一身份认证、电子证照等公共支撑平台</w:t>
      </w:r>
    </w:p>
    <w:p w14:paraId="49511E75">
      <w:pPr>
        <w:widowControl/>
        <w:adjustRightInd w:val="0"/>
        <w:snapToGrid w:val="0"/>
        <w:spacing w:line="360" w:lineRule="auto"/>
        <w:ind w:firstLine="420"/>
        <w:jc w:val="left"/>
        <w:rPr>
          <w:rFonts w:hint="eastAsia" w:ascii="宋体" w:hAnsi="宋体" w:eastAsia="宋体" w:cs="仿宋"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仿宋"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  <w:t>（4）功能性需求分析</w:t>
      </w:r>
    </w:p>
    <w:p w14:paraId="60A9A273">
      <w:pPr>
        <w:pStyle w:val="2"/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 xml:space="preserve">1. 故障修复：修复系统软件 BUG、页面报错、心电解析异常； </w:t>
      </w:r>
    </w:p>
    <w:p w14:paraId="6FAB3C86">
      <w:pPr>
        <w:pStyle w:val="2"/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 xml:space="preserve">2. 接口维护：维护心电系统与 HIS、电子病历、心电采集设备接口，保障数据双向流转； </w:t>
      </w:r>
    </w:p>
    <w:p w14:paraId="35CA5A16">
      <w:pPr>
        <w:pStyle w:val="2"/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 xml:space="preserve">3. 配置调整：科室变更、人员变动时完成角色、权限、模板配置调整； </w:t>
      </w:r>
    </w:p>
    <w:p w14:paraId="56E46E51">
      <w:pPr>
        <w:pStyle w:val="2"/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>4. 查询统计功能维护，保障心电报告检索、归档功能正常。</w:t>
      </w:r>
    </w:p>
    <w:p w14:paraId="6941BC92">
      <w:pPr>
        <w:widowControl/>
        <w:adjustRightInd w:val="0"/>
        <w:snapToGrid w:val="0"/>
        <w:spacing w:line="360" w:lineRule="auto"/>
        <w:ind w:firstLine="420"/>
        <w:jc w:val="left"/>
        <w:rPr>
          <w:rFonts w:hint="eastAsia" w:ascii="宋体" w:hAnsi="宋体" w:eastAsia="宋体" w:cs="仿宋"/>
          <w:b/>
          <w:bCs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仿宋"/>
          <w:b/>
          <w:bCs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  <w:t>（5）非功能性需求分析</w:t>
      </w:r>
    </w:p>
    <w:p w14:paraId="37784E09">
      <w:pPr>
        <w:widowControl/>
        <w:adjustRightInd w:val="0"/>
        <w:snapToGrid w:val="0"/>
        <w:spacing w:line="360" w:lineRule="auto"/>
        <w:ind w:firstLine="420"/>
        <w:jc w:val="left"/>
        <w:rPr>
          <w:rFonts w:hint="eastAsia" w:ascii="宋体" w:hAnsi="宋体" w:eastAsia="宋体" w:cs="仿宋"/>
          <w:color w:val="000000" w:themeColor="text1"/>
          <w:sz w:val="24"/>
          <w:lang w:bidi="en-US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仿宋"/>
          <w:color w:val="000000" w:themeColor="text1"/>
          <w:sz w:val="24"/>
          <w:lang w:bidi="en-US"/>
          <w14:textFill>
            <w14:solidFill>
              <w14:schemeClr w14:val="tx1"/>
            </w14:solidFill>
          </w14:textFill>
        </w:rPr>
        <w:t xml:space="preserve">1. 可靠性：业务系统全年可用率≥99.5%； </w:t>
      </w:r>
    </w:p>
    <w:p w14:paraId="1EB279A2">
      <w:pPr>
        <w:widowControl/>
        <w:adjustRightInd w:val="0"/>
        <w:snapToGrid w:val="0"/>
        <w:spacing w:line="360" w:lineRule="auto"/>
        <w:ind w:firstLine="420"/>
        <w:jc w:val="left"/>
        <w:rPr>
          <w:rFonts w:hint="eastAsia" w:ascii="宋体" w:hAnsi="宋体" w:eastAsia="宋体" w:cs="仿宋"/>
          <w:color w:val="000000" w:themeColor="text1"/>
          <w:sz w:val="24"/>
          <w:lang w:bidi="en-US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仿宋"/>
          <w:color w:val="000000" w:themeColor="text1"/>
          <w:sz w:val="24"/>
          <w:lang w:bidi="en-US"/>
          <w14:textFill>
            <w14:solidFill>
              <w14:schemeClr w14:val="tx1"/>
            </w14:solidFill>
          </w14:textFill>
        </w:rPr>
        <w:t xml:space="preserve">2. 性能：心电报告打开、查询响应时间 </w:t>
      </w:r>
      <w:r>
        <w:rPr>
          <w:rFonts w:hint="eastAsia" w:ascii="宋体" w:hAnsi="宋体" w:eastAsia="宋体" w:cs="仿宋"/>
          <w:color w:val="000000" w:themeColor="text1"/>
          <w:sz w:val="24"/>
          <w:lang w:bidi="en-US"/>
          <w14:textFill>
            <w14:solidFill>
              <w14:schemeClr w14:val="tx1"/>
            </w14:solidFill>
          </w14:textFill>
        </w:rPr>
        <w:t>5</w:t>
      </w:r>
      <w:r>
        <w:rPr>
          <w:rFonts w:ascii="宋体" w:hAnsi="宋体" w:eastAsia="宋体" w:cs="仿宋"/>
          <w:color w:val="000000" w:themeColor="text1"/>
          <w:sz w:val="24"/>
          <w:lang w:bidi="en-US"/>
          <w14:textFill>
            <w14:solidFill>
              <w14:schemeClr w14:val="tx1"/>
            </w14:solidFill>
          </w14:textFill>
        </w:rPr>
        <w:t xml:space="preserve"> 秒以内；</w:t>
      </w:r>
    </w:p>
    <w:p w14:paraId="1992AE23">
      <w:pPr>
        <w:widowControl/>
        <w:adjustRightInd w:val="0"/>
        <w:snapToGrid w:val="0"/>
        <w:spacing w:line="360" w:lineRule="auto"/>
        <w:ind w:firstLine="420"/>
        <w:jc w:val="left"/>
        <w:rPr>
          <w:rFonts w:hint="eastAsia" w:ascii="宋体" w:hAnsi="宋体" w:eastAsia="宋体" w:cs="仿宋"/>
          <w:color w:val="000000" w:themeColor="text1"/>
          <w:sz w:val="24"/>
          <w:lang w:bidi="en-US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仿宋"/>
          <w:color w:val="000000" w:themeColor="text1"/>
          <w:sz w:val="24"/>
          <w:lang w:bidi="en-US"/>
          <w14:textFill>
            <w14:solidFill>
              <w14:schemeClr w14:val="tx1"/>
            </w14:solidFill>
          </w14:textFill>
        </w:rPr>
        <w:t xml:space="preserve">3. 可维护性：支持远程运维，必要时现场处置； </w:t>
      </w:r>
    </w:p>
    <w:p w14:paraId="036E0C09">
      <w:pPr>
        <w:widowControl/>
        <w:adjustRightInd w:val="0"/>
        <w:snapToGrid w:val="0"/>
        <w:spacing w:line="360" w:lineRule="auto"/>
        <w:ind w:firstLine="420"/>
        <w:jc w:val="left"/>
        <w:rPr>
          <w:rFonts w:hint="eastAsia" w:ascii="宋体" w:hAnsi="宋体" w:eastAsia="宋体" w:cs="仿宋"/>
          <w:b/>
          <w:bCs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仿宋"/>
          <w:color w:val="000000" w:themeColor="text1"/>
          <w:sz w:val="24"/>
          <w:lang w:bidi="en-US"/>
          <w14:textFill>
            <w14:solidFill>
              <w14:schemeClr w14:val="tx1"/>
            </w14:solidFill>
          </w14:textFill>
        </w:rPr>
        <w:t>4. 易用性：保障原有业务操作流程不变，对技师、医生不增加额外操作负担。</w:t>
      </w:r>
      <w:r>
        <w:rPr>
          <w:rFonts w:hint="eastAsia" w:ascii="宋体" w:hAnsi="宋体" w:eastAsia="宋体" w:cs="仿宋"/>
          <w:b/>
          <w:bCs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  <w:t>（6）安全需求分析</w:t>
      </w:r>
    </w:p>
    <w:p w14:paraId="13A3CAD0">
      <w:pPr>
        <w:pStyle w:val="2"/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>1. 权限管控：配合医院核查系统账号权限，杜绝越权访问患者心电敏感数据；</w:t>
      </w:r>
    </w:p>
    <w:p w14:paraId="38A6665E">
      <w:pPr>
        <w:pStyle w:val="2"/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 xml:space="preserve">2. 备份核查：维保服务中配合核查心电数据库备份任务执行情况； </w:t>
      </w:r>
    </w:p>
    <w:p w14:paraId="3408F105">
      <w:pPr>
        <w:pStyle w:val="2"/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 xml:space="preserve">3. 日志留存：保障系统操作日志、访问日志留存； </w:t>
      </w:r>
    </w:p>
    <w:p w14:paraId="7928472B">
      <w:pPr>
        <w:pStyle w:val="2"/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>4. 应急需求：制定故障应急预案，发生宕机、数据库异常能够快速恢复业务； 本系统在医院内网安全域，维保方需配合落实网络安全、个人健康信息保护相关要求。</w:t>
      </w:r>
    </w:p>
    <w:p w14:paraId="686F2F83">
      <w:pPr>
        <w:widowControl/>
        <w:adjustRightInd w:val="0"/>
        <w:snapToGrid w:val="0"/>
        <w:spacing w:line="360" w:lineRule="auto"/>
        <w:ind w:firstLine="420"/>
        <w:jc w:val="left"/>
        <w:rPr>
          <w:rFonts w:hint="eastAsia" w:ascii="宋体" w:hAnsi="宋体" w:eastAsia="宋体" w:cs="仿宋"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仿宋"/>
          <w:b/>
          <w:bCs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  <w:t>（7）标准编制需求分析</w:t>
      </w:r>
    </w:p>
    <w:p w14:paraId="2B9D305F">
      <w:pPr>
        <w:widowControl/>
        <w:adjustRightInd w:val="0"/>
        <w:snapToGrid w:val="0"/>
        <w:spacing w:line="360" w:lineRule="auto"/>
        <w:ind w:firstLine="360" w:firstLineChars="150"/>
        <w:jc w:val="left"/>
        <w:rPr>
          <w:rFonts w:hint="eastAsia" w:ascii="宋体" w:hAnsi="宋体" w:eastAsia="宋体" w:cs="仿宋"/>
          <w:b/>
          <w:bCs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仿宋"/>
          <w:color w:val="000000" w:themeColor="text1"/>
          <w:sz w:val="24"/>
          <w:lang w:bidi="en-US"/>
          <w14:textFill>
            <w14:solidFill>
              <w14:schemeClr w14:val="tx1"/>
            </w14:solidFill>
          </w14:textFill>
        </w:rPr>
        <w:t>本项目不涉及新增标准编制，沿用现有医疗信息化、医院内部数据管理标准。</w:t>
      </w:r>
    </w:p>
    <w:p w14:paraId="0E63A66F">
      <w:pPr>
        <w:pStyle w:val="2"/>
        <w:adjustRightInd w:val="0"/>
        <w:snapToGrid w:val="0"/>
        <w:spacing w:line="360" w:lineRule="auto"/>
        <w:ind w:firstLine="480" w:firstLineChars="200"/>
        <w:rPr>
          <w:rFonts w:hint="default" w:ascii="宋体" w:hAnsi="宋体" w:eastAsia="宋体"/>
          <w:color w:val="000000" w:themeColor="text1"/>
          <w:sz w:val="24"/>
          <w:szCs w:val="24"/>
          <w:lang w:val="en-US" w:eastAsia="zh-CN" w:bidi="en-US"/>
          <w14:textFill>
            <w14:solidFill>
              <w14:schemeClr w14:val="tx1"/>
            </w14:solidFill>
          </w14:textFill>
        </w:rPr>
      </w:pPr>
    </w:p>
    <w:p w14:paraId="19391EE2">
      <w:pPr>
        <w:pStyle w:val="2"/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</w:pPr>
    </w:p>
    <w:p w14:paraId="68869601">
      <w:pPr>
        <w:pStyle w:val="2"/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sectPr>
          <w:footerReference r:id="rId3" w:type="default"/>
          <w:pgSz w:w="11906" w:h="16838"/>
          <w:pgMar w:top="400" w:right="1463" w:bottom="1652" w:left="1602" w:header="0" w:footer="1401" w:gutter="0"/>
          <w:cols w:space="720" w:num="1"/>
        </w:sectPr>
      </w:pPr>
    </w:p>
    <w:p w14:paraId="070BAB5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D2BD68">
    <w:pPr>
      <w:pStyle w:val="3"/>
      <w:jc w:val="center"/>
    </w:pPr>
    <w:r>
      <w:rPr>
        <w:rFonts w:hint="eastAsia"/>
        <w:b/>
        <w:bCs/>
        <w:i/>
        <w:iCs/>
        <w:sz w:val="20"/>
        <w:szCs w:val="20"/>
      </w:rPr>
      <w:t xml:space="preserve">共 </w:t>
    </w:r>
    <w:r>
      <w:rPr>
        <w:rFonts w:hint="eastAsia"/>
        <w:b/>
        <w:bCs/>
        <w:i/>
        <w:iCs/>
        <w:sz w:val="20"/>
        <w:szCs w:val="20"/>
      </w:rPr>
      <w:fldChar w:fldCharType="begin"/>
    </w:r>
    <w:r>
      <w:rPr>
        <w:rFonts w:hint="eastAsia"/>
        <w:b/>
        <w:bCs/>
        <w:i/>
        <w:iCs/>
        <w:sz w:val="20"/>
        <w:szCs w:val="20"/>
      </w:rPr>
      <w:instrText xml:space="preserve"> NUMPAGES  \* MERGEFORMAT </w:instrText>
    </w:r>
    <w:r>
      <w:rPr>
        <w:rFonts w:hint="eastAsia"/>
        <w:b/>
        <w:bCs/>
        <w:i/>
        <w:iCs/>
        <w:sz w:val="20"/>
        <w:szCs w:val="20"/>
      </w:rPr>
      <w:fldChar w:fldCharType="separate"/>
    </w:r>
    <w:r>
      <w:rPr>
        <w:b/>
        <w:bCs/>
        <w:i/>
        <w:iCs/>
        <w:sz w:val="20"/>
        <w:szCs w:val="20"/>
      </w:rPr>
      <w:t>86</w:t>
    </w:r>
    <w:r>
      <w:rPr>
        <w:rFonts w:hint="eastAsia"/>
        <w:b/>
        <w:bCs/>
        <w:i/>
        <w:iCs/>
        <w:sz w:val="20"/>
        <w:szCs w:val="20"/>
      </w:rPr>
      <w:fldChar w:fldCharType="end"/>
    </w:r>
    <w:r>
      <w:rPr>
        <w:rFonts w:hint="eastAsia"/>
        <w:b/>
        <w:bCs/>
        <w:i/>
        <w:iCs/>
        <w:sz w:val="20"/>
        <w:szCs w:val="20"/>
      </w:rPr>
      <w:t xml:space="preserve"> 页  第 </w:t>
    </w:r>
    <w:r>
      <w:rPr>
        <w:rFonts w:hint="eastAsia"/>
        <w:b/>
        <w:bCs/>
        <w:i/>
        <w:iCs/>
        <w:sz w:val="20"/>
        <w:szCs w:val="20"/>
      </w:rPr>
      <w:fldChar w:fldCharType="begin"/>
    </w:r>
    <w:r>
      <w:rPr>
        <w:rFonts w:hint="eastAsia"/>
        <w:b/>
        <w:bCs/>
        <w:i/>
        <w:iCs/>
        <w:sz w:val="20"/>
        <w:szCs w:val="20"/>
      </w:rPr>
      <w:instrText xml:space="preserve"> PAGE  \* MERGEFORMAT </w:instrText>
    </w:r>
    <w:r>
      <w:rPr>
        <w:rFonts w:hint="eastAsia"/>
        <w:b/>
        <w:bCs/>
        <w:i/>
        <w:iCs/>
        <w:sz w:val="20"/>
        <w:szCs w:val="20"/>
      </w:rPr>
      <w:fldChar w:fldCharType="separate"/>
    </w:r>
    <w:r>
      <w:rPr>
        <w:b/>
        <w:bCs/>
        <w:i/>
        <w:iCs/>
        <w:sz w:val="20"/>
        <w:szCs w:val="20"/>
      </w:rPr>
      <w:t>25</w:t>
    </w:r>
    <w:r>
      <w:rPr>
        <w:rFonts w:hint="eastAsia"/>
        <w:b/>
        <w:bCs/>
        <w:i/>
        <w:iCs/>
        <w:sz w:val="20"/>
        <w:szCs w:val="20"/>
      </w:rPr>
      <w:fldChar w:fldCharType="end"/>
    </w:r>
    <w:r>
      <w:rPr>
        <w:rFonts w:hint="eastAsia"/>
        <w:b/>
        <w:bCs/>
        <w:i/>
        <w:iCs/>
        <w:sz w:val="20"/>
        <w:szCs w:val="20"/>
      </w:rPr>
      <w:t xml:space="preserve"> 页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FF1B01"/>
    <w:multiLevelType w:val="singleLevel"/>
    <w:tmpl w:val="CBFF1B01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0A0B4A"/>
    <w:rsid w:val="080A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2026-10-19T00:39:00Z</dcterms:created>
  <dc:creator>宝玉 r</dc:creator>
  <cp:lastModifiedBy>宝玉 r</cp:lastModifiedBy>
  <dcterms:modified xsi:type="dcterms:W3CDTF">2026-10-19T00:41:06Z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2052-12.1.0.26946</vt:lpwstr>
  </property>
  <property fmtid="{D5CDD505-2E9C-101B-9397-08002B2CF9AE}" pid="3" name="ICV">
    <vt:lpwstr>47DC475E74E84F91B33422D8DFA9AB70_11</vt:lpwstr>
  </property>
  <property fmtid="{D5CDD505-2E9C-101B-9397-08002B2CF9AE}" pid="4" name="KSOTemplateDocerSaveRecord">
    <vt:lpwstr>eyJoZGlkIjoiN2Y5Y2ZmYzMwZGU5ZGYxYWMxYzY1ZmFhMDY1NTg5MWEiLCJ1c2VySWQiOiI1MDQ5MzAzOTUifQ==</vt:lpwstr>
  </property>
</Properties>
</file>